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953E3C">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953E3C">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953E3C">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953E3C">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953E3C">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953E3C">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953E3C">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953E3C">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953E3C">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953E3C">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953E3C">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953E3C">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953E3C">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953E3C">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953E3C">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953E3C">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953E3C">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953E3C">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953E3C">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953E3C">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953E3C">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953E3C">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953E3C">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953E3C">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953E3C">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953E3C">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953E3C">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953E3C">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953E3C">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953E3C">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953E3C">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953E3C">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953E3C">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953E3C">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953E3C">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953E3C">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953E3C">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953E3C">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953E3C">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953E3C">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953E3C">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953E3C">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953E3C">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953E3C">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953E3C">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953E3C">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5"/>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A4D896A" w:rsidR="00093CA9" w:rsidRDefault="00AF3905" w:rsidP="00093CA9">
            <w:pPr>
              <w:rPr>
                <w:lang w:eastAsia="ja-JP"/>
              </w:rPr>
            </w:pPr>
            <w:r w:rsidRPr="00AF3905">
              <w:t>Anderson Mori</w:t>
            </w:r>
            <w:r w:rsidR="00096F9C">
              <w:rPr>
                <w:rFonts w:hint="eastAsia"/>
                <w:lang w:eastAsia="ja-JP"/>
              </w:rPr>
              <w:t xml:space="preserve"> &amp; </w:t>
            </w:r>
            <w:proofErr w:type="spellStart"/>
            <w:r w:rsidR="00096F9C">
              <w:rPr>
                <w:rFonts w:hint="eastAsia"/>
                <w:lang w:eastAsia="ja-JP"/>
              </w:rPr>
              <w:t>Tomotsune</w:t>
            </w:r>
            <w:proofErr w:type="spellEnd"/>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C7A8C16" w:rsidR="00093CA9" w:rsidRDefault="00AF3905" w:rsidP="00093CA9">
            <w:r>
              <w:t>Japan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31ACBA0" w:rsidR="00093CA9" w:rsidRDefault="00E14DCC" w:rsidP="00093CA9">
            <w:r w:rsidRPr="00E14DCC">
              <w:t>Supervisory Guidance on Climate-related Risk Management and Client Engagement (</w:t>
            </w:r>
            <w:proofErr w:type="spellStart"/>
            <w:r w:rsidRPr="00E14DCC">
              <w:rPr>
                <w:rFonts w:ascii="ＭＳ ゴシック" w:eastAsia="ＭＳ ゴシック" w:hAnsi="ＭＳ ゴシック" w:cs="ＭＳ ゴシック" w:hint="eastAsia"/>
              </w:rPr>
              <w:t>金融機関における気候変動への対応についての基本的な考え方</w:t>
            </w:r>
            <w:proofErr w:type="spellEnd"/>
            <w:r w:rsidRPr="00E14DCC">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211D3A4" w:rsidR="00093CA9" w:rsidRDefault="00852E32" w:rsidP="00093CA9">
            <w:r w:rsidRPr="00852E32">
              <w:t>https://www.fsa.go.jp/news/r4/ginkou/20220712/03.pdf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39183C4D"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6AE72F1B" w:rsidR="00093CA9" w:rsidRDefault="00884090"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5E10FB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5D1FE58" w:rsidR="00093CA9" w:rsidRDefault="00884090" w:rsidP="00093CA9">
            <w:r>
              <w:rPr>
                <w:rFonts w:ascii="Calibri" w:eastAsia="BIZ UD明朝 Medium" w:hAnsi="Calibri" w:cs="Calibri"/>
                <w:kern w:val="0"/>
                <w14:ligatures w14:val="none"/>
              </w:rPr>
              <w:t>The policy tool in question is the Financial Services Agency of Japan’s (FSA) “Supervisory Guidance on Climate-related Risk Management and Client Engagement,” which serves as a prudential supervisory framework for banks and insurance companies. Its primary goal is to ensure that financial institutions integrate climate-related risk management into their governance, strategy, and risk assessment processes, thereby enhancing the resilience of both the institutions and their clients to climate change. The guidance is closely aligned with international standards such as the Task Force on Climate-related Financial Disclosures (TCFD) and encourages scenario analysis, stakeholder communication, and active client engagement to support the transition to a low-carbon economy. It is not a rigid checklist but a reference for supervisory dialogue, covering component parts such as strategic governance, risk identification and assessment, scenario analysis, client support measures, and disclosure practices. It is highly relevant to the prudential domain as it addresses both the soundness of financial institutions and their role in supporting the decarbonisation of the wider economy.</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3309DCB" w:rsidR="00093CA9" w:rsidRDefault="0088409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3E1DF98" w:rsidR="00093CA9" w:rsidRPr="00173D7C" w:rsidRDefault="00884090"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8EE4104" w:rsidR="00093CA9" w:rsidRDefault="00CA2D31" w:rsidP="00093CA9">
            <w:pPr>
              <w:rPr>
                <w:lang w:eastAsia="ja-JP"/>
              </w:rPr>
            </w:pPr>
            <w:r>
              <w:rPr>
                <w:rFonts w:hint="eastAsia"/>
                <w:lang w:eastAsia="ja-JP"/>
              </w:rPr>
              <w:t>Governmental agency (</w:t>
            </w:r>
            <w:r w:rsidR="00884090">
              <w:t>Financial Services Agency (FSA)</w:t>
            </w:r>
            <w:r>
              <w:rPr>
                <w:rFonts w:hint="eastAsia"/>
                <w:lang w:eastAsia="ja-JP"/>
              </w:rP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3809B643" w14:textId="474108CD" w:rsidR="00884090" w:rsidRDefault="00884090" w:rsidP="00884090">
            <w:r>
              <w:t>Financial Services Agency (FSA)</w:t>
            </w:r>
          </w:p>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2B25CC6E" w:rsidR="00093CA9" w:rsidRPr="006B7B0D" w:rsidRDefault="00964491" w:rsidP="00093CA9">
            <w:r>
              <w:rPr>
                <w:rFonts w:hint="eastAsia"/>
                <w:lang w:eastAsia="ja-JP"/>
              </w:rPr>
              <w:t>X</w:t>
            </w:r>
          </w:p>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29244B5" w:rsidR="00093CA9" w:rsidRDefault="00884090"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B3C091E" w:rsidR="00093CA9" w:rsidRPr="00884090" w:rsidRDefault="00884090" w:rsidP="00884090">
            <w:r>
              <w:rPr>
                <w:rFonts w:ascii="Calibri" w:eastAsia="BIZ UD明朝 Medium" w:hAnsi="Calibri" w:cs="Calibri"/>
              </w:rPr>
              <w:t>The FSA enforces climate-related risk management by engaging in ongoing supervisory dialogue with financial institutions, requiring them to develop and disclose medium- to long-term strategies, specific targets, and progress in line with frameworks such as the TCFD, and to conduct scenario analyses to assess climate risks and opportunities (pp. 18–24, 28). The FSA collaborates with the Bank of Japan on scenario analysis exercises, publishes findings to enhance transparency, and provides tailored support and information sharing, ensuring that oversight is adaptive to each institution’s size and business characteristics while remaining aligned with evolving international standards and best practices (pp. 52–53).</w:t>
            </w: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C70F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t>Section 1.2: What is being disclosed?</w:t>
      </w:r>
      <w:bookmarkEnd w:id="4"/>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6" w:name="_Toc198223605"/>
      <w:r>
        <w:t>Domain 2: Transition Planning</w:t>
      </w:r>
      <w:bookmarkEnd w:id="6"/>
    </w:p>
    <w:p w14:paraId="0CA57B64" w14:textId="2923536F" w:rsidR="00F41EE0" w:rsidRDefault="005E50FD" w:rsidP="00F41EE0">
      <w:pPr>
        <w:pStyle w:val="2"/>
      </w:pPr>
      <w:bookmarkStart w:id="7" w:name="_Toc198223606"/>
      <w:r>
        <w:t xml:space="preserve">Section 2.1: </w:t>
      </w:r>
      <w:r w:rsidR="00F41EE0">
        <w:t>Who is being targeted?</w:t>
      </w:r>
      <w:bookmarkEnd w:id="7"/>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C70F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8" w:name="_Toc198223607"/>
      <w:r>
        <w:t xml:space="preserve">Section 2.2: </w:t>
      </w:r>
      <w:r w:rsidR="00F41EE0">
        <w:t>Disclosure of Plans and Targets</w:t>
      </w:r>
      <w:bookmarkEnd w:id="8"/>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 w:name="_Toc198223608"/>
      <w:r>
        <w:t xml:space="preserve">Section 2.3: </w:t>
      </w:r>
      <w:r w:rsidR="00F41EE0">
        <w:t>Target Setting</w:t>
      </w:r>
      <w:bookmarkEnd w:id="9"/>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0" w:name="_Toc198223609"/>
      <w:r>
        <w:t xml:space="preserve">Section 2.4: </w:t>
      </w:r>
      <w:r w:rsidR="00951BBE">
        <w:t>GHG Emissions Reductions Targets</w:t>
      </w:r>
      <w:bookmarkEnd w:id="10"/>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1" w:name="_Toc198223610"/>
      <w:r>
        <w:t xml:space="preserve">Section 2.5: </w:t>
      </w:r>
      <w:r w:rsidR="00950B68">
        <w:t>Transition Planning</w:t>
      </w:r>
      <w:bookmarkEnd w:id="11"/>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2" w:name="_Toc198223611"/>
      <w:r>
        <w:t xml:space="preserve">Section 2.6: </w:t>
      </w:r>
      <w:r w:rsidR="00950B68">
        <w:t>Standards and Frameworks</w:t>
      </w:r>
      <w:bookmarkEnd w:id="12"/>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3" w:name="_Toc198223612"/>
      <w:r>
        <w:t>Domain 3: Public Procurement</w:t>
      </w:r>
      <w:bookmarkEnd w:id="13"/>
      <w:r>
        <w:t xml:space="preserve"> </w:t>
      </w:r>
    </w:p>
    <w:p w14:paraId="0D8B4B9F" w14:textId="5E2943CF" w:rsidR="00950B68" w:rsidRPr="00950B68" w:rsidRDefault="005E50FD" w:rsidP="00950B68">
      <w:pPr>
        <w:pStyle w:val="2"/>
      </w:pPr>
      <w:bookmarkStart w:id="14" w:name="_Toc198223613"/>
      <w:r>
        <w:t xml:space="preserve">Section 3.1: </w:t>
      </w:r>
      <w:r w:rsidR="00950B68">
        <w:t>Who is being targeted?</w:t>
      </w:r>
      <w:bookmarkEnd w:id="14"/>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C70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2"/>
      </w:pPr>
      <w:bookmarkStart w:id="17" w:name="_Toc198223614"/>
      <w:r>
        <w:t xml:space="preserve">Section 3.2: </w:t>
      </w:r>
      <w:r w:rsidR="00436F24">
        <w:t>Procurement Cycle</w:t>
      </w:r>
      <w:bookmarkEnd w:id="17"/>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9" w:name="_Toc198223616"/>
      <w:r>
        <w:t xml:space="preserve">Section 3.4: </w:t>
      </w:r>
      <w:r w:rsidR="00062526">
        <w:t>Tendering or Solicitation Stage</w:t>
      </w:r>
      <w:bookmarkEnd w:id="19"/>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0" w:name="_Toc198223617"/>
      <w:r>
        <w:t xml:space="preserve">Section 3.5: </w:t>
      </w:r>
      <w:r w:rsidR="00064195">
        <w:t>Exclusion or Debarment Grounds</w:t>
      </w:r>
      <w:bookmarkEnd w:id="20"/>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1" w:name="_Toc198223618"/>
      <w:r>
        <w:t xml:space="preserve">Section 3.6: </w:t>
      </w:r>
      <w:r w:rsidR="00C85DD9">
        <w:t>Qualification or Selection Criteria</w:t>
      </w:r>
      <w:bookmarkEnd w:id="2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2" w:name="_Toc198223619"/>
      <w:r>
        <w:t xml:space="preserve">Section 3.7: </w:t>
      </w:r>
      <w:r w:rsidR="00A42235">
        <w:t>Technical specifications</w:t>
      </w:r>
      <w:bookmarkEnd w:id="22"/>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3" w:name="_Toc198223620"/>
      <w:r>
        <w:t xml:space="preserve">Section 3.8: </w:t>
      </w:r>
      <w:r w:rsidR="001E7C37">
        <w:t>Contract Performance</w:t>
      </w:r>
      <w:bookmarkEnd w:id="23"/>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4" w:name="_Toc198223621"/>
      <w:r>
        <w:t xml:space="preserve">Section 3.9: </w:t>
      </w:r>
      <w:r w:rsidR="00950B68">
        <w:t>Standards and Frameworks</w:t>
      </w:r>
      <w:bookmarkEnd w:id="24"/>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5" w:name="_Toc198223622"/>
      <w:r>
        <w:t>Domain 4: Carbon Credits</w:t>
      </w:r>
      <w:bookmarkEnd w:id="25"/>
    </w:p>
    <w:p w14:paraId="25C35D8C" w14:textId="52BD279F" w:rsidR="001C0769" w:rsidRPr="001C0769" w:rsidRDefault="000428FA" w:rsidP="001C0769">
      <w:pPr>
        <w:pStyle w:val="2"/>
      </w:pPr>
      <w:bookmarkStart w:id="26" w:name="_Toc198223623"/>
      <w:r>
        <w:t xml:space="preserve">Section </w:t>
      </w:r>
      <w:r w:rsidR="00B20D58">
        <w:t>4</w:t>
      </w:r>
      <w:r>
        <w:t xml:space="preserve">.1: </w:t>
      </w:r>
      <w:r w:rsidR="001C0769">
        <w:t>Who is being targeted?</w:t>
      </w:r>
      <w:bookmarkEnd w:id="26"/>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C70F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3"/>
        <w:rPr>
          <w:rFonts w:eastAsia="Times New Roman"/>
          <w:kern w:val="0"/>
          <w:lang w:eastAsia="en-GB"/>
          <w14:ligatures w14:val="none"/>
        </w:rPr>
      </w:pPr>
      <w:bookmarkStart w:id="31" w:name="_Section_1:_Criteria"/>
      <w:bookmarkStart w:id="32" w:name="_Toc198223627"/>
      <w:bookmarkEnd w:id="31"/>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9" w:name="_Toc198223631"/>
      <w:r w:rsidRPr="009C4D10">
        <w:t>Domain 5: Prudential Tools</w:t>
      </w:r>
      <w:bookmarkEnd w:id="39"/>
    </w:p>
    <w:p w14:paraId="3E16913F" w14:textId="21F34EF6" w:rsidR="00AF3FC6" w:rsidRPr="00AF3FC6" w:rsidRDefault="00455E1B" w:rsidP="00AF3FC6">
      <w:pPr>
        <w:pStyle w:val="2"/>
      </w:pPr>
      <w:bookmarkStart w:id="40" w:name="_Toc198223632"/>
      <w:r>
        <w:t xml:space="preserve">Section 5.1: </w:t>
      </w:r>
      <w:r w:rsidR="00AF3FC6" w:rsidRPr="009C4D10">
        <w:t>Who is being targeted?</w:t>
      </w:r>
      <w:bookmarkEnd w:id="40"/>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0445DA19" w:rsidR="00D4323A" w:rsidRPr="00CF2E7C" w:rsidRDefault="00B9013C"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5B4A8EC1" w:rsidR="00D4323A" w:rsidRPr="00CF2E7C" w:rsidRDefault="00B9013C"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5536B90C" w:rsidR="00D4323A" w:rsidRPr="00CF2E7C" w:rsidRDefault="00D4323A" w:rsidP="00CF2E7C">
            <w:pPr>
              <w:rPr>
                <w:rFonts w:ascii="Calibri" w:hAnsi="Calibri" w:cs="Calibri"/>
              </w:rPr>
            </w:pPr>
          </w:p>
        </w:tc>
        <w:tc>
          <w:tcPr>
            <w:tcW w:w="1455" w:type="dxa"/>
            <w:gridSpan w:val="2"/>
            <w:vAlign w:val="center"/>
          </w:tcPr>
          <w:p w14:paraId="768ED678" w14:textId="2F65EF6E" w:rsidR="00D4323A" w:rsidRPr="00CF2E7C" w:rsidRDefault="00B64F91"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5DA88AB2" w:rsidR="00D4323A" w:rsidRPr="00CF2E7C" w:rsidRDefault="00B9013C"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53BFA837" w:rsidR="00D4323A" w:rsidRPr="00CF2E7C" w:rsidRDefault="00B9013C"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012D78F0" w:rsidR="00D4323A" w:rsidRPr="00CF2E7C" w:rsidRDefault="00B9013C"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25AB8DC3" w:rsidR="00D4323A" w:rsidRPr="00CF2E7C" w:rsidRDefault="00B9013C"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11D376C5" w:rsidR="00D4323A" w:rsidRPr="00CF2E7C" w:rsidRDefault="00B9013C"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880305D" w:rsidR="00D4323A" w:rsidRPr="00CF2E7C" w:rsidRDefault="00B9013C"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15B389C" w:rsidR="00D4323A" w:rsidRPr="00CF2E7C" w:rsidRDefault="00B9013C"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5397AFA8" w:rsidR="00D4323A" w:rsidRPr="00CF2E7C" w:rsidRDefault="00B9013C"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D3AAAF3" w:rsidR="00D4323A" w:rsidRPr="00CF2E7C" w:rsidRDefault="00B9013C"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29B5A065" w:rsidR="00D4323A" w:rsidRPr="00CF2E7C" w:rsidRDefault="00B9013C"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50DE380D" w:rsidR="00DD292A" w:rsidRPr="00CF2E7C" w:rsidRDefault="00DD292A" w:rsidP="00CF2E7C">
            <w:pPr>
              <w:rPr>
                <w:rFonts w:ascii="Calibri" w:hAnsi="Calibri" w:cs="Calibri"/>
              </w:rPr>
            </w:pPr>
          </w:p>
        </w:tc>
        <w:tc>
          <w:tcPr>
            <w:tcW w:w="1455" w:type="dxa"/>
            <w:gridSpan w:val="2"/>
            <w:vAlign w:val="center"/>
          </w:tcPr>
          <w:p w14:paraId="135AE0CB" w14:textId="21816387" w:rsidR="00DD292A" w:rsidRPr="00CF2E7C" w:rsidRDefault="00B64F91"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819290E" w:rsidR="00DD292A" w:rsidRPr="00CF2E7C" w:rsidRDefault="00DD292A" w:rsidP="00CF2E7C">
            <w:pPr>
              <w:rPr>
                <w:rFonts w:ascii="Calibri" w:hAnsi="Calibri" w:cs="Calibri"/>
              </w:rPr>
            </w:pPr>
          </w:p>
        </w:tc>
        <w:tc>
          <w:tcPr>
            <w:tcW w:w="1455" w:type="dxa"/>
            <w:gridSpan w:val="2"/>
            <w:vAlign w:val="center"/>
          </w:tcPr>
          <w:p w14:paraId="59824F78" w14:textId="5447441F" w:rsidR="00DD292A" w:rsidRPr="00CF2E7C" w:rsidRDefault="00B64F91"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848F239" w:rsidR="00DD292A" w:rsidRPr="00CF2E7C" w:rsidRDefault="00DD292A" w:rsidP="00CF2E7C">
            <w:pPr>
              <w:rPr>
                <w:rFonts w:ascii="Calibri" w:hAnsi="Calibri" w:cs="Calibri"/>
              </w:rPr>
            </w:pPr>
          </w:p>
        </w:tc>
        <w:tc>
          <w:tcPr>
            <w:tcW w:w="1455" w:type="dxa"/>
            <w:gridSpan w:val="2"/>
            <w:vAlign w:val="center"/>
          </w:tcPr>
          <w:p w14:paraId="4FF5C987" w14:textId="4D0D3E7D" w:rsidR="00DD292A" w:rsidRPr="00CF2E7C" w:rsidRDefault="00B64F91"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617BC3B3" w:rsidR="00DD292A" w:rsidRPr="00CF2E7C" w:rsidRDefault="00B9013C"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2838CF6A" w:rsidR="00DD292A" w:rsidRPr="00CF2E7C" w:rsidRDefault="00B9013C"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5D2CD709" w:rsidR="00DD292A" w:rsidRPr="00CF2E7C" w:rsidRDefault="00B9013C"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17303FE5" w:rsidR="00DD292A" w:rsidRPr="00CF2E7C" w:rsidRDefault="00267E12"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8EEA473" w:rsidR="00DD292A" w:rsidRPr="00CF2E7C" w:rsidRDefault="00267E12"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3EB9A62A" w:rsidR="00DD292A" w:rsidRPr="00CF2E7C" w:rsidRDefault="00267E12"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49FF8B50" w:rsidR="00DD292A" w:rsidRPr="00CF2E7C" w:rsidRDefault="00267E12"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5D4A668D" w:rsidR="00DD292A" w:rsidRPr="00CF2E7C" w:rsidRDefault="00267E12"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4F342269" w:rsidR="00DD292A" w:rsidRPr="00CF2E7C" w:rsidRDefault="00267E12"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04D265B8" w:rsidR="00DD292A" w:rsidRPr="00CF2E7C" w:rsidRDefault="00267E12"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DE66919" w:rsidR="00DD292A" w:rsidRPr="00CF2E7C" w:rsidRDefault="00267E12"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5958E265" w:rsidR="00DD292A" w:rsidRPr="00CF2E7C" w:rsidRDefault="00267E12"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69F5B79C" w:rsidR="00DD292A" w:rsidRPr="00CF2E7C" w:rsidRDefault="00267E12"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24FB6BDA" w:rsidR="00DD292A" w:rsidRPr="00CF2E7C" w:rsidRDefault="00DD292A" w:rsidP="00CF2E7C">
            <w:pPr>
              <w:rPr>
                <w:rFonts w:ascii="Calibri" w:hAnsi="Calibri" w:cs="Calibri"/>
              </w:rPr>
            </w:pPr>
          </w:p>
        </w:tc>
        <w:tc>
          <w:tcPr>
            <w:tcW w:w="1455" w:type="dxa"/>
            <w:gridSpan w:val="2"/>
            <w:vAlign w:val="center"/>
          </w:tcPr>
          <w:p w14:paraId="48FCC9CA" w14:textId="1AE60196" w:rsidR="00DD292A" w:rsidRPr="00CF2E7C" w:rsidRDefault="00964491" w:rsidP="00CF2E7C">
            <w:pPr>
              <w:rPr>
                <w:rFonts w:ascii="Calibri" w:hAnsi="Calibri" w:cs="Calibri"/>
                <w:lang w:eastAsia="ja-JP"/>
              </w:rPr>
            </w:pPr>
            <w:r>
              <w:rPr>
                <w:rFonts w:ascii="Calibri" w:hAnsi="Calibri" w:cs="Calibri" w:hint="eastAsia"/>
                <w:lang w:eastAsia="ja-JP"/>
              </w:rPr>
              <w:t>X</w:t>
            </w: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051B43" w:rsidR="00DD292A" w:rsidRPr="00CF2E7C" w:rsidRDefault="00267E12"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2AB04B64" w:rsidR="00DD292A" w:rsidRPr="00CF2E7C" w:rsidRDefault="00267E12"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41206A3F" w:rsidR="00DD292A" w:rsidRPr="00CF2E7C" w:rsidRDefault="00267E12"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6A67AEC8" w:rsidR="00DD292A" w:rsidRPr="00CF2E7C" w:rsidRDefault="00267E12"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45BFF1DF" w:rsidR="00DD292A" w:rsidRPr="00CF2E7C" w:rsidRDefault="00267E12"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44D48E9" w:rsidR="00DD292A" w:rsidRPr="00CF2E7C" w:rsidRDefault="00267E12"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27E766B3" w:rsidR="00DD292A" w:rsidRPr="00CF2E7C" w:rsidRDefault="00267E12"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6731F5ED" w:rsidR="00DD292A" w:rsidRPr="00CF2E7C" w:rsidRDefault="00267E12"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0A895FEC" w:rsidR="00DD292A" w:rsidRPr="00CF2E7C" w:rsidRDefault="00267E12"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08CCCE0F" w:rsidR="00DD292A" w:rsidRPr="00CF2E7C" w:rsidRDefault="00267E12"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4F5290DC" w:rsidR="00DD292A" w:rsidRPr="00CF2E7C" w:rsidRDefault="00267E12"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5C6559B1"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372ED0CA" w:rsidR="00DD292A" w:rsidRPr="00CF2E7C" w:rsidRDefault="00DD292A" w:rsidP="00CF2E7C">
            <w:pPr>
              <w:rPr>
                <w:rFonts w:ascii="Calibri" w:hAnsi="Calibri" w:cs="Calibri"/>
              </w:rPr>
            </w:pPr>
          </w:p>
        </w:tc>
      </w:tr>
      <w:tr w:rsidR="00DD292A" w:rsidRPr="00CC70F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1A0CA808"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296FBCB"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25468020"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1CAE1C53"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5E8167AE"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25735BA6" w:rsidR="00DD292A" w:rsidRPr="00CF2E7C" w:rsidRDefault="00DD292A" w:rsidP="00CF2E7C">
            <w:pPr>
              <w:rPr>
                <w:rFonts w:ascii="Calibri" w:hAnsi="Calibri" w:cs="Calibri"/>
                <w:lang w:eastAsia="ja-JP"/>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44EDF71A" w:rsidR="00DD292A" w:rsidRPr="00CF2E7C" w:rsidRDefault="00FB163E" w:rsidP="00CF2E7C">
            <w:pPr>
              <w:rPr>
                <w:rFonts w:ascii="Calibri" w:hAnsi="Calibri" w:cs="Calibri"/>
              </w:rPr>
            </w:pPr>
            <w:r>
              <w:rPr>
                <w:rFonts w:ascii="Calibri" w:hAnsi="Calibri" w:cs="Calibri" w:hint="eastAsia"/>
                <w:lang w:eastAsia="ja-JP"/>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8577A7B" w14:textId="3721DE38" w:rsidR="00FB163E" w:rsidRDefault="00FB163E" w:rsidP="00FB163E">
            <w:pPr>
              <w:rPr>
                <w:rFonts w:ascii="Calibri" w:hAnsi="Calibri" w:cs="Calibri"/>
                <w:lang w:eastAsia="ja-JP"/>
              </w:rPr>
            </w:pPr>
            <w:r>
              <w:rPr>
                <w:rFonts w:ascii="Calibri" w:hAnsi="Calibri" w:cs="Calibri" w:hint="eastAsia"/>
                <w:lang w:eastAsia="ja-JP"/>
              </w:rPr>
              <w:t xml:space="preserve">Publication of </w:t>
            </w:r>
            <w:r>
              <w:rPr>
                <w:rFonts w:ascii="Calibri" w:hAnsi="Calibri" w:cs="Calibri"/>
                <w:lang w:eastAsia="ja-JP"/>
              </w:rPr>
              <w:t>“</w:t>
            </w:r>
            <w:r w:rsidRPr="00FB163E">
              <w:rPr>
                <w:rFonts w:ascii="Calibri" w:hAnsi="Calibri" w:cs="Calibri"/>
              </w:rPr>
              <w:t>Practices and Issues on Climate-related Risk Management</w:t>
            </w:r>
            <w:r>
              <w:rPr>
                <w:rFonts w:ascii="Calibri" w:hAnsi="Calibri" w:cs="Calibri" w:hint="eastAsia"/>
                <w:lang w:eastAsia="ja-JP"/>
              </w:rPr>
              <w:t xml:space="preserve"> ~</w:t>
            </w:r>
            <w:r w:rsidRPr="00FB163E">
              <w:rPr>
                <w:rFonts w:ascii="Calibri" w:hAnsi="Calibri" w:cs="Calibri"/>
              </w:rPr>
              <w:t xml:space="preserve"> Building on “Supervisory Guidance on Climate-related Risk Management and Client Engagement” ~</w:t>
            </w:r>
            <w:r>
              <w:rPr>
                <w:rFonts w:ascii="Calibri" w:hAnsi="Calibri" w:cs="Calibri"/>
                <w:lang w:eastAsia="ja-JP"/>
              </w:rPr>
              <w:t>”</w:t>
            </w:r>
            <w:r>
              <w:rPr>
                <w:rFonts w:ascii="Calibri" w:hAnsi="Calibri" w:cs="Calibri" w:hint="eastAsia"/>
                <w:lang w:eastAsia="ja-JP"/>
              </w:rPr>
              <w:t xml:space="preserve"> </w:t>
            </w:r>
          </w:p>
          <w:p w14:paraId="30D0478B" w14:textId="77777777" w:rsidR="00FB163E" w:rsidRDefault="00FB163E" w:rsidP="00FB163E">
            <w:pPr>
              <w:pStyle w:val="a9"/>
              <w:numPr>
                <w:ilvl w:val="0"/>
                <w:numId w:val="53"/>
              </w:numPr>
              <w:rPr>
                <w:rFonts w:ascii="Calibri" w:hAnsi="Calibri" w:cs="Calibri"/>
                <w:lang w:eastAsia="ja-JP"/>
              </w:rPr>
            </w:pPr>
            <w:r w:rsidRPr="00953E3C">
              <w:rPr>
                <w:rFonts w:ascii="Calibri" w:hAnsi="Calibri" w:cs="Calibri"/>
                <w:lang w:eastAsia="ja-JP"/>
              </w:rPr>
              <w:t>Since the publication of the “Supervisory Guidance on Climate-related Risk Management and Client Engagement” in July 2022, the FSA has maintained dialogues with financial institutions on climate-related risk management and client engagement.</w:t>
            </w:r>
          </w:p>
          <w:p w14:paraId="1DD9FBEA" w14:textId="32B7CA7F" w:rsidR="00FB163E" w:rsidRDefault="00FB163E" w:rsidP="00FB163E">
            <w:pPr>
              <w:pStyle w:val="a9"/>
              <w:numPr>
                <w:ilvl w:val="0"/>
                <w:numId w:val="53"/>
              </w:numPr>
              <w:rPr>
                <w:rFonts w:ascii="Calibri" w:hAnsi="Calibri" w:cs="Calibri"/>
                <w:lang w:eastAsia="ja-JP"/>
              </w:rPr>
            </w:pPr>
            <w:r>
              <w:rPr>
                <w:rFonts w:ascii="Calibri" w:hAnsi="Calibri" w:cs="Calibri" w:hint="eastAsia"/>
                <w:lang w:eastAsia="ja-JP"/>
              </w:rPr>
              <w:t>On July 7 (updated on July 25)</w:t>
            </w:r>
            <w:r w:rsidRPr="00953E3C">
              <w:rPr>
                <w:rFonts w:ascii="Calibri" w:hAnsi="Calibri" w:cs="Calibri"/>
                <w:lang w:eastAsia="ja-JP"/>
              </w:rPr>
              <w:t xml:space="preserve">, the FSA published the report which illustrates practices and issues of financial institutions addressing climate-related risks. Those case examples are based on initiatives taken by approximately 20 financial institutions covered in the in-depth dialogue conducted in </w:t>
            </w:r>
            <w:r>
              <w:rPr>
                <w:rFonts w:ascii="Calibri" w:hAnsi="Calibri" w:cs="Calibri" w:hint="eastAsia"/>
                <w:lang w:eastAsia="ja-JP"/>
              </w:rPr>
              <w:t>financial year (</w:t>
            </w:r>
            <w:r>
              <w:rPr>
                <w:rFonts w:ascii="Calibri" w:hAnsi="Calibri" w:cs="Calibri"/>
                <w:lang w:eastAsia="ja-JP"/>
              </w:rPr>
              <w:t>“</w:t>
            </w:r>
            <w:r w:rsidRPr="00953E3C">
              <w:rPr>
                <w:rFonts w:ascii="Calibri" w:hAnsi="Calibri" w:cs="Calibri"/>
                <w:b/>
                <w:bCs/>
                <w:lang w:eastAsia="ja-JP"/>
              </w:rPr>
              <w:t>FY</w:t>
            </w:r>
            <w:r>
              <w:rPr>
                <w:rFonts w:ascii="Calibri" w:hAnsi="Calibri" w:cs="Calibri"/>
                <w:lang w:eastAsia="ja-JP"/>
              </w:rPr>
              <w:t>”</w:t>
            </w:r>
            <w:r>
              <w:rPr>
                <w:rFonts w:ascii="Calibri" w:hAnsi="Calibri" w:cs="Calibri" w:hint="eastAsia"/>
                <w:lang w:eastAsia="ja-JP"/>
              </w:rPr>
              <w:t>)</w:t>
            </w:r>
            <w:r w:rsidRPr="00953E3C">
              <w:rPr>
                <w:rFonts w:ascii="Calibri" w:hAnsi="Calibri" w:cs="Calibri"/>
                <w:lang w:eastAsia="ja-JP"/>
              </w:rPr>
              <w:t xml:space="preserve"> 2024 (from summer 2024 to summer 2025).</w:t>
            </w:r>
          </w:p>
          <w:p w14:paraId="496F7156" w14:textId="7A195340" w:rsidR="00DD292A" w:rsidRPr="00953E3C" w:rsidRDefault="00FB163E" w:rsidP="00953E3C">
            <w:pPr>
              <w:pStyle w:val="a9"/>
              <w:numPr>
                <w:ilvl w:val="0"/>
                <w:numId w:val="53"/>
              </w:numPr>
              <w:rPr>
                <w:rFonts w:ascii="Calibri" w:hAnsi="Calibri" w:cs="Calibri"/>
                <w:lang w:eastAsia="ja-JP"/>
              </w:rPr>
            </w:pPr>
            <w:r>
              <w:rPr>
                <w:rFonts w:ascii="Calibri" w:hAnsi="Calibri" w:cs="Calibri" w:hint="eastAsia"/>
                <w:lang w:eastAsia="ja-JP"/>
              </w:rPr>
              <w:t>According to the FSA, t</w:t>
            </w:r>
            <w:r w:rsidRPr="00953E3C">
              <w:rPr>
                <w:rFonts w:ascii="Calibri" w:hAnsi="Calibri" w:cs="Calibri"/>
                <w:lang w:eastAsia="ja-JP"/>
              </w:rPr>
              <w:t xml:space="preserve">he financial institutions covered in the FY 2024 dialogue consider climate change to be a material issue and have made progress in addressing climate-related risks in a manner suited to their respective size and business characteristics. On the other hand, </w:t>
            </w:r>
            <w:r>
              <w:rPr>
                <w:rFonts w:ascii="Calibri" w:hAnsi="Calibri" w:cs="Calibri" w:hint="eastAsia"/>
                <w:lang w:eastAsia="ja-JP"/>
              </w:rPr>
              <w:t xml:space="preserve">FSA explains that </w:t>
            </w:r>
            <w:r w:rsidRPr="00953E3C">
              <w:rPr>
                <w:rFonts w:ascii="Calibri" w:hAnsi="Calibri" w:cs="Calibri"/>
                <w:lang w:eastAsia="ja-JP"/>
              </w:rPr>
              <w:t>they face challenges in integrating climate-related risks, which will manifest over the medium and long term, into conventional risk management frameworks. They also have difficulty with temporary increase in financed emissions when they finance their clients to support their transition to net zero.</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558FB630"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65513B8E" w:rsidR="00DD292A" w:rsidRPr="00CF2E7C" w:rsidRDefault="00267E12"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6FFCE1A" w:rsidR="00410853" w:rsidRPr="00CF2E7C" w:rsidRDefault="007D37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8BE9849" w:rsidR="00410853" w:rsidRPr="00CF2E7C" w:rsidRDefault="007D37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64EA146B" w:rsidR="00F632FB" w:rsidRPr="00CF2E7C" w:rsidRDefault="007D37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49CC50C7" w:rsidR="00F632FB" w:rsidRPr="00CF2E7C" w:rsidRDefault="007D37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3E43AC79" w:rsidR="00F632FB" w:rsidRPr="00CF2E7C" w:rsidRDefault="007D37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51CA7925" w:rsidR="00F632FB" w:rsidRPr="00CF2E7C" w:rsidRDefault="007D379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91AABAC" w:rsidR="008C4722" w:rsidRPr="00CF2E7C" w:rsidRDefault="009B13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54A33BBD" w:rsidR="008C4722" w:rsidRPr="00CF2E7C" w:rsidRDefault="009B13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00870D87" w:rsidR="008C4722" w:rsidRPr="00CF2E7C" w:rsidRDefault="009B13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581EAD10" w:rsidR="008C4722" w:rsidRPr="00CF2E7C" w:rsidRDefault="009B13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F17386" w14:textId="77777777" w:rsidR="009B139A" w:rsidRDefault="009B139A" w:rsidP="009B139A">
            <w:pPr>
              <w:pStyle w:val="a9"/>
              <w:numPr>
                <w:ilvl w:val="0"/>
                <w:numId w:val="49"/>
              </w:numPr>
              <w:textAlignment w:val="baseline"/>
              <w:rPr>
                <w:rFonts w:ascii="Calibri" w:eastAsia="Times New Roman" w:hAnsi="Calibri" w:cs="Calibri"/>
                <w:kern w:val="0"/>
                <w:lang w:eastAsia="en-GB"/>
                <w14:ligatures w14:val="none"/>
              </w:rPr>
            </w:pPr>
            <w:r w:rsidRPr="009B139A">
              <w:rPr>
                <w:rFonts w:ascii="Calibri" w:eastAsia="Times New Roman" w:hAnsi="Calibri" w:cs="Calibri"/>
                <w:kern w:val="0"/>
                <w:lang w:eastAsia="en-GB"/>
                <w14:ligatures w14:val="none"/>
              </w:rPr>
              <w:t>Reputational risk</w:t>
            </w:r>
          </w:p>
          <w:p w14:paraId="0B148E14" w14:textId="77777777" w:rsidR="009B139A" w:rsidRPr="009B139A" w:rsidRDefault="009B139A" w:rsidP="009B139A">
            <w:pPr>
              <w:pStyle w:val="a9"/>
              <w:numPr>
                <w:ilvl w:val="0"/>
                <w:numId w:val="49"/>
              </w:numPr>
              <w:textAlignment w:val="baseline"/>
              <w:rPr>
                <w:rFonts w:ascii="Calibri" w:eastAsia="Times New Roman" w:hAnsi="Calibri" w:cs="Calibri"/>
                <w:kern w:val="0"/>
                <w:lang w:eastAsia="en-GB"/>
                <w14:ligatures w14:val="none"/>
              </w:rPr>
            </w:pPr>
            <w:r w:rsidRPr="009B139A">
              <w:rPr>
                <w:lang w:eastAsia="en-GB"/>
              </w:rPr>
              <w:t>Operational risk</w:t>
            </w:r>
          </w:p>
          <w:p w14:paraId="21F767FC" w14:textId="552F1A66" w:rsidR="009B139A" w:rsidRPr="009B139A" w:rsidRDefault="009B139A" w:rsidP="009B139A">
            <w:pPr>
              <w:pStyle w:val="a9"/>
              <w:numPr>
                <w:ilvl w:val="0"/>
                <w:numId w:val="49"/>
              </w:numPr>
              <w:textAlignment w:val="baseline"/>
              <w:rPr>
                <w:rFonts w:ascii="Calibri" w:eastAsia="Times New Roman" w:hAnsi="Calibri" w:cs="Calibri"/>
                <w:kern w:val="0"/>
                <w:lang w:eastAsia="en-GB"/>
                <w14:ligatures w14:val="none"/>
              </w:rPr>
            </w:pPr>
            <w:r w:rsidRPr="009B139A">
              <w:rPr>
                <w:lang w:eastAsia="en-GB"/>
              </w:rPr>
              <w:t>Credit risk</w:t>
            </w: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D474E55" w:rsidR="008C4722" w:rsidRPr="009B139A" w:rsidRDefault="009B139A" w:rsidP="009B139A">
            <w:r>
              <w:rPr>
                <w:rFonts w:ascii="Calibri" w:eastAsia="BIZ UD明朝 Medium" w:hAnsi="Calibri" w:cs="Calibri"/>
              </w:rPr>
              <w:t>The policy tool addresses the incidence of climate-related financial risks on targeted entities—primarily banks and insurance companies—by requiring them to integrate climate-related risk assessment and management into their overall governance, strategy, and risk management frameworks. Specifically, Section III ("Viewpoints of Dialogue on Financial Institutions' Responses to Climate Change") outlines that climate-related risks, including both physical and transition risks, are to be recognised as risk drivers that can amplify traditional risk categories such as credit, market, liquidity, and operational risk (pp. 27–28). The guidance expects boards and management to develop medium- to long-term strategies, conduct scenario analyses, and allocate resources to identify, assess, and manage these risks (pp. 18–20). Furthermore, financial institutions are required to continuously review and adapt their risk management practices, taking into account the evolving nature of climate-related risks and their transmission channels, and to communicate their strategies and progress to stakeholders (pp. 28–29). This approach ensures that the incidence of climate-related financial risks is systematically addressed within the prudential oversight and internal controls of the targeted entities.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6069ED8" w:rsidR="008C4722" w:rsidRPr="00CF2E7C" w:rsidRDefault="009B13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746A3F4A" w:rsidR="008C4722" w:rsidRPr="00CF2E7C" w:rsidRDefault="009B13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2E4AD89D" w:rsidR="008C4722" w:rsidRPr="009B139A" w:rsidRDefault="009B139A" w:rsidP="009B139A">
            <w:pPr>
              <w:textAlignment w:val="baseline"/>
            </w:pPr>
            <w:r>
              <w:rPr>
                <w:rFonts w:ascii="Calibri" w:eastAsia="BIZ UD明朝 Medium" w:hAnsi="Calibri" w:cs="Calibri"/>
              </w:rPr>
              <w:t>The policy tool aligns with the Basel Committee on Banking Supervision (BCBS) framework, particularly referring to Pillar 2 and 3. The guidance emphasises supervisory dialogue, risk management expectations, and scenario analysis (Pillar 2: see pp. 18–20, 27–28), as well as the importance of disclosure and stakeholder communication regarding climate-related strategies and risk management (Pillar 3: see pp. 28–29). There is no explicit reference to minimum capital requirements (Pillar 1) in the context of climate-related risks within the guidance.</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092882B8" w:rsidR="007B7DEE" w:rsidRPr="00CF2E7C" w:rsidRDefault="00A66A2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498CCB77" w:rsidR="007B7DEE" w:rsidRPr="00851301" w:rsidRDefault="00851301" w:rsidP="00851301">
            <w:r>
              <w:rPr>
                <w:rFonts w:ascii="Calibri" w:eastAsia="BIZ UD明朝 Medium" w:hAnsi="Calibri" w:cs="Calibri"/>
              </w:rPr>
              <w:t xml:space="preserve">The policy tool employs a combination of international (EU, ASEAN) and domestic (Japanese sectoral roadmaps and guidelines) taxonomies to classify and support environment-friendly and transition activities. These taxonomies are used to determine the eligibility of financial instruments such as green and transition bonds, set preferential lending terms (e.g., green loans, sustainability-linked loans), and guide client engagement and consulting services, as well as inform scenario analysis and disclosure practices for climate-related risk management. The approach is detailed in BOX 3 (pp. 10–12) regarding transition finance and taxonomies, </w:t>
            </w:r>
            <w:r w:rsidR="00210006">
              <w:rPr>
                <w:rFonts w:ascii="Calibri" w:eastAsia="BIZ UD明朝 Medium" w:hAnsi="Calibri" w:cs="Calibri"/>
              </w:rPr>
              <w:t>provisions on funding for growth</w:t>
            </w:r>
            <w:r>
              <w:rPr>
                <w:rFonts w:ascii="Calibri" w:eastAsia="BIZ UD明朝 Medium" w:hAnsi="Calibri" w:cs="Calibri"/>
              </w:rPr>
              <w:t xml:space="preserve"> (pp. 39–41), BOX 13 (p. 44) for sustainable finance in lending, and Section </w:t>
            </w:r>
            <w:r w:rsidR="00210006">
              <w:rPr>
                <w:rFonts w:ascii="Calibri" w:eastAsia="BIZ UD明朝 Medium" w:hAnsi="Calibri" w:cs="Calibri"/>
              </w:rPr>
              <w:t>2</w:t>
            </w:r>
            <w:r>
              <w:rPr>
                <w:rFonts w:ascii="Calibri" w:eastAsia="BIZ UD明朝 Medium" w:hAnsi="Calibri" w:cs="Calibri"/>
              </w:rPr>
              <w:t xml:space="preserve"> (pp. 20–24) on risk assessment and disclosure.</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24235965" w:rsidR="00ED7E12" w:rsidRPr="00CF2E7C" w:rsidRDefault="002100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C20665F"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6809DF25" w:rsidR="00ED7E12" w:rsidRPr="00CF2E7C" w:rsidRDefault="002100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1FC5B805" w:rsidR="00ED7E12" w:rsidRPr="00210006" w:rsidRDefault="00210006" w:rsidP="00210006">
            <w:r>
              <w:rPr>
                <w:rFonts w:ascii="Calibri" w:eastAsia="BIZ UD明朝 Medium" w:hAnsi="Calibri" w:cs="Calibri"/>
              </w:rPr>
              <w:t>The policy tool monitors and verifies compliance with obligations imposed on regulated entities through a combination of self-reporting and regulatory oversight by the FSA. Regulated entities are encouraged to self-report, particularly via disclosures aligned with frameworks such as the TCFD and statutory annual securities reports (Box 4, p. 16-17). Regulatory oversight is exercised by the FSA through supervisory dialogue, scenario analysis exercises, and ongoing monitoring of financial institutions’ climate-related risk management and client engagement (Section III.1, "Strategies and governance related to climate change", p. 18–19; Section V, "Exercise on scenario analysis", p. 53). Additionally, the FSA collaborates with other ministries and agencies to support and verify the calculation and analysis of GHG emissions, further reinforcing compliance monitoring (Section V.2, "Support for financial institutions' initiatives to support clients", p. 52).</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054D22D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631683CD" w:rsidR="00702413" w:rsidRPr="00953E3C" w:rsidRDefault="00702413" w:rsidP="00CF2E7C">
            <w:pPr>
              <w:textAlignment w:val="baseline"/>
              <w:rPr>
                <w:rFonts w:ascii="Calibri" w:hAnsi="Calibri" w:cs="Calibri"/>
                <w:kern w:val="0"/>
                <w:lang w:eastAsia="ja-JP"/>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FB163E">
              <w:rPr>
                <w:rFonts w:ascii="Calibri" w:hAnsi="Calibri" w:cs="Calibri" w:hint="eastAsia"/>
                <w:kern w:val="0"/>
                <w:lang w:eastAsia="ja-JP"/>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4EF9214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10006">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1C6FDD0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10006">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5F2E25A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979C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6198A7A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979C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61A8F26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979CC">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4EAB614B" w:rsidR="00C82860" w:rsidRPr="00CF2E7C" w:rsidRDefault="009979C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7BE60BE" w14:textId="1387196D" w:rsidR="00B64F91" w:rsidRDefault="00B64F91" w:rsidP="00B64F91">
            <w:r>
              <w:rPr>
                <w:rFonts w:ascii="Calibri" w:eastAsia="BIZ UD明朝 Medium" w:hAnsi="Calibri" w:cs="Calibri"/>
              </w:rPr>
              <w:t>The policy tool recommends, but does not mandate, the disclosure of climate-related risk management and governance practices for financial institutions. The guidance emphasises the importance of boards and management explaining their strategies and progress in responding to climate change to stakeholders through disclosure and reporting (Section III.1, Strategies and governance related to climate change, p</w:t>
            </w:r>
            <w:r w:rsidR="00CA1206">
              <w:rPr>
                <w:rFonts w:ascii="Calibri" w:eastAsia="BIZ UD明朝 Medium" w:hAnsi="Calibri" w:cs="Calibri"/>
              </w:rPr>
              <w:t>p</w:t>
            </w:r>
            <w:r>
              <w:rPr>
                <w:rFonts w:ascii="Calibri" w:eastAsia="BIZ UD明朝 Medium" w:hAnsi="Calibri" w:cs="Calibri"/>
              </w:rPr>
              <w:t>. 18–19). It further encourages financial institutions to provide useful and accurate information on their climate-related strategies, risk management frameworks, and governance, referencing both domestic and international disclosure frameworks (Section III.4, Communication with Stakeholders, p</w:t>
            </w:r>
            <w:r w:rsidR="00CA1206">
              <w:rPr>
                <w:rFonts w:ascii="Calibri" w:eastAsia="BIZ UD明朝 Medium" w:hAnsi="Calibri" w:cs="Calibri"/>
              </w:rPr>
              <w:t>p</w:t>
            </w:r>
            <w:r>
              <w:rPr>
                <w:rFonts w:ascii="Calibri" w:eastAsia="BIZ UD明朝 Medium" w:hAnsi="Calibri" w:cs="Calibri"/>
              </w:rPr>
              <w:t>. 28–29). However, the guidance does not set explicit thresholds above which disclosure becomes mandatory, nor does it differentiate requirements based on the size or type of institution; rather, it states that practical approaches, including disclosure, may vary depending on the size and business characteristics of each institution, and that the FSA will not apply the guidance mechanically or as a checklist (Introduction, p</w:t>
            </w:r>
            <w:r w:rsidR="00CA1206">
              <w:rPr>
                <w:rFonts w:ascii="Calibri" w:eastAsia="BIZ UD明朝 Medium" w:hAnsi="Calibri" w:cs="Calibri"/>
              </w:rPr>
              <w:t>p</w:t>
            </w:r>
            <w:r>
              <w:rPr>
                <w:rFonts w:ascii="Calibri" w:eastAsia="BIZ UD明朝 Medium" w:hAnsi="Calibri" w:cs="Calibri"/>
              </w:rPr>
              <w:t>. 1–2; Section V, How to proceed in the future, p. 52). Thus, while disclosure is strongly recommended and expected as best practice, it remains voluntary and is not subject to specific thresholds that trigger mandatory requirements.</w:t>
            </w:r>
          </w:p>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4DDBF69F" w:rsidR="00C82860" w:rsidRPr="00CF2E7C" w:rsidRDefault="00B64F9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732898A0" w:rsidR="00C82860" w:rsidRPr="00CA1206" w:rsidRDefault="00CA1206" w:rsidP="00CA1206">
            <w:pPr>
              <w:textAlignment w:val="baseline"/>
              <w:rPr>
                <w:rFonts w:ascii="Calibri" w:eastAsia="Times New Roman" w:hAnsi="Calibri" w:cs="Calibri"/>
                <w:kern w:val="0"/>
                <w:lang w:eastAsia="en-GB"/>
                <w14:ligatures w14:val="none"/>
              </w:rPr>
            </w:pPr>
            <w:r>
              <w:rPr>
                <w:rFonts w:ascii="Calibri" w:eastAsia="BIZ UD明朝 Medium" w:hAnsi="Calibri" w:cs="Calibri"/>
              </w:rPr>
              <w:t>The policy tool recommends that financial institutions incorporate climate-risk assessment into their due diligence for new clients and transactions, including investments, as part of a broader approach to understanding and supporting clients’ responses to climate change. Specifically, Section IV ("Approaches to support clients in responding to climate change"), under "Assessing the impact on clients" (pp. 30–39), outlines that financial institutions should collect and analyse information on clients’ market and regional economic conditions, industry characteristics, and financial situation to identify both opportunities and risks related to climate change. This process is to be conducted through dialogue and continuous improvement of relevant knowledge, with the aim of fostering a common understanding of climate-related risks and opportunities with clients. The guidance emphasises that such assessments should be tailored to the circumstances of each client and are not mandated, but are strongly encouraged as good practice to ensure business resilience and sustainability. The FSA clarifies in the Introduction and Section V that these recommendations are not to be applied mechanically or as a checklist, but rather as reference points for dialogue and the development of better practices (pp. 1–2, 52).</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56C64FF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A1206">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4CDA1AF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A1206">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292F4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A1206">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31C140D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A1206">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7612B005" w:rsidR="00C82860" w:rsidRPr="00CA1206" w:rsidRDefault="00CA1206" w:rsidP="00CA1206">
            <w:pPr>
              <w:textAlignment w:val="baseline"/>
            </w:pPr>
            <w:r>
              <w:rPr>
                <w:rFonts w:ascii="Calibri" w:eastAsia="BIZ UD明朝 Medium" w:hAnsi="Calibri" w:cs="Calibri"/>
              </w:rPr>
              <w:t>The policy tool recommends that financial institutions use metrics to monitor and assess portfolio exposures with higher climate physical and/or transition risk, as detailed in Section III, "Recognition and assessment of opportunities and risks related to climate change" (pp. 20–24). Institutions are encouraged to identify clients, sectors, regions, and operations particularly affected by climate change, and to assess the significance of related risks and opportunities through both qualitative and quantitative means. This includes the use of scenario analysis and the assignment of discrete scores to factors such as the importance of clients or operations, the time horizon, and the likelihood of risk materialisation. The guidance highlights the importance of continuously reviewing these assessments in light of evolving client and institutional responses to climate change, but does not mandate specific metrics, instead positioning their use as a recommended good practice for effective risk management.</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5170A6B7" w:rsidR="00655FF7" w:rsidRPr="00CF2E7C" w:rsidRDefault="00CA12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55C679C1" w:rsidR="003032A9" w:rsidRPr="00CF2E7C" w:rsidRDefault="00CA12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58C49FD2" w:rsidR="009818E7" w:rsidRPr="00CF2E7C" w:rsidRDefault="00CA12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189F6D1E" w:rsidR="003D5104" w:rsidRPr="00CF2E7C" w:rsidRDefault="00CA12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3729E227" w:rsidR="003D5104" w:rsidRPr="00CF2E7C" w:rsidRDefault="00CA12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5110A5F4" w:rsidR="003D5104" w:rsidRPr="00CA1206" w:rsidRDefault="00CA1206" w:rsidP="00CA1206">
            <w:pPr>
              <w:textAlignment w:val="baseline"/>
              <w:rPr>
                <w:rFonts w:ascii="Calibri" w:eastAsia="Times New Roman" w:hAnsi="Calibri" w:cs="Calibri"/>
                <w:kern w:val="0"/>
                <w:lang w:eastAsia="en-GB"/>
                <w14:ligatures w14:val="none"/>
              </w:rPr>
            </w:pPr>
            <w:r>
              <w:rPr>
                <w:rFonts w:ascii="Calibri" w:eastAsia="BIZ UD明朝 Medium" w:hAnsi="Calibri" w:cs="Calibri"/>
              </w:rPr>
              <w:t>The supervisory guidance from the FSA indicates that scenario analysis is considered an effective tool for assessing climate-related opportunities and risks. The scenarios referenced are typically based on quantitative data and modelling, such as those published by the International Energy Agency (IEA), the Intergovernmental Panel on Climate Change (IPCC), and the Network for Greening the Financial System (NGFS). These scenarios include projections of global temperatures, emissions, and economic activity, and are used for quantitative assessment through simulations (i.e., model-driven and quantified narrative scenarios). There is no indication that fully narrative or probabilistic scenarios are used in the prudential policy tool as described in the guidance.</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67DE90AA" w:rsidR="00BE1F9E" w:rsidRPr="00CF2E7C" w:rsidRDefault="00CA12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1C9049C" w:rsidR="00BE1F9E" w:rsidRPr="00CF2E7C" w:rsidRDefault="00CA120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1813BFCE"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A1206">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5C47E03" w14:textId="77777777" w:rsidR="005604AF" w:rsidRDefault="005604AF" w:rsidP="005604AF">
            <w:pPr>
              <w:rPr>
                <w:rFonts w:ascii="Calibri" w:eastAsia="BIZ UD明朝 Medium" w:hAnsi="Calibri" w:cs="Calibri"/>
              </w:rPr>
            </w:pPr>
            <w:r>
              <w:rPr>
                <w:rFonts w:ascii="Calibri" w:eastAsia="BIZ UD明朝 Medium" w:hAnsi="Calibri" w:cs="Calibri"/>
              </w:rPr>
              <w:t xml:space="preserve">The process of selecting scenarios for stress-testing or scenario analysis, as outlined in the policy tool, involves a combination of approaches: </w:t>
            </w:r>
          </w:p>
          <w:p w14:paraId="0E233DA4" w14:textId="77777777" w:rsidR="005604AF" w:rsidRDefault="005604AF" w:rsidP="005604AF">
            <w:pPr>
              <w:pStyle w:val="a9"/>
              <w:widowControl w:val="0"/>
              <w:numPr>
                <w:ilvl w:val="0"/>
                <w:numId w:val="50"/>
              </w:numPr>
              <w:spacing w:before="0" w:after="160" w:line="256" w:lineRule="auto"/>
              <w:jc w:val="both"/>
              <w:rPr>
                <w:sz w:val="22"/>
                <w:szCs w:val="22"/>
              </w:rPr>
            </w:pPr>
            <w:r>
              <w:rPr>
                <w:rFonts w:ascii="Calibri" w:eastAsia="BIZ UD明朝 Medium" w:hAnsi="Calibri" w:cs="Calibri"/>
              </w:rPr>
              <w:t xml:space="preserve">Financial institutions are expected to select scenarios internally based on their own business characteristics and risk profiles, while also making use of standardised scenarios developed or recommended by the regulator, particularly for systemically important banks and internationally active insurance groups (Section III.2, "Recognition and assessment of opportunities and risks related to climate change," pp. 20–24). </w:t>
            </w:r>
          </w:p>
          <w:p w14:paraId="79007C7D" w14:textId="77777777" w:rsidR="005604AF" w:rsidRDefault="005604AF" w:rsidP="005604AF">
            <w:pPr>
              <w:pStyle w:val="a9"/>
              <w:widowControl w:val="0"/>
              <w:numPr>
                <w:ilvl w:val="0"/>
                <w:numId w:val="50"/>
              </w:numPr>
              <w:spacing w:before="0" w:after="160" w:line="256" w:lineRule="auto"/>
              <w:jc w:val="both"/>
            </w:pPr>
            <w:r>
              <w:rPr>
                <w:rFonts w:ascii="Calibri" w:eastAsia="BIZ UD明朝 Medium" w:hAnsi="Calibri" w:cs="Calibri"/>
              </w:rPr>
              <w:t xml:space="preserve">The guidance further emphasises the importance of referencing international frameworks, such as scenarios published by the International Energy Agency (IEA), the Intergovernmental Panel on Climate Change (IPCC), and the Network for Greening the Financial System (NGFS), for both risk analysis and target setting (BOX 5, p. 25). </w:t>
            </w:r>
          </w:p>
          <w:p w14:paraId="5C18CF55" w14:textId="7C6BEC53" w:rsidR="00BE1F9E" w:rsidRPr="005604AF" w:rsidRDefault="005604AF" w:rsidP="005604AF">
            <w:pPr>
              <w:pStyle w:val="a9"/>
              <w:widowControl w:val="0"/>
              <w:numPr>
                <w:ilvl w:val="0"/>
                <w:numId w:val="50"/>
              </w:numPr>
              <w:spacing w:before="0" w:after="160" w:line="256" w:lineRule="auto"/>
              <w:jc w:val="both"/>
            </w:pPr>
            <w:r>
              <w:rPr>
                <w:rFonts w:ascii="Calibri" w:eastAsia="BIZ UD明朝 Medium" w:hAnsi="Calibri" w:cs="Calibri"/>
              </w:rPr>
              <w:t>The FSA also notes that methodologies for scenario analysis are still evolving and that institutions should continuously improve their approaches, with the regulator supporting exercises using common scenarios in cooperation with the Bank of Japan (Section V.3, "Exercise on scenario analysis," p. 53).</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4B26D65B" w:rsidR="00DC31BF" w:rsidRPr="00CF2E7C" w:rsidRDefault="005604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72D48932" w:rsidR="0098226E" w:rsidRPr="00CF2E7C" w:rsidRDefault="005604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49410654" w:rsidR="00F10A6E" w:rsidRPr="00CF2E7C" w:rsidRDefault="005604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3FB95BD9" w:rsidR="00F26296" w:rsidRPr="00CF2E7C" w:rsidRDefault="00BE34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4211BB18" w:rsidR="00F26296" w:rsidRPr="00CF2E7C" w:rsidRDefault="00BE34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31CE75E9" w:rsidR="00F26296" w:rsidRPr="00BE340B" w:rsidRDefault="00BE340B" w:rsidP="00BE340B">
            <w:r>
              <w:rPr>
                <w:rFonts w:ascii="Calibri" w:eastAsia="BIZ UD明朝 Medium" w:hAnsi="Calibri" w:cs="Calibri"/>
              </w:rPr>
              <w:t>The results of stress-testing or scenario analysis exercises are primarily used to inform governance and climate-related risk management frameworks within financial institutions, as well as to support the development of strategies for responding to climate change. According to the supervisory guidance, scenario analysis is regarded as an effective tool for identifying, clarifying, and quantifying climate-related risks and opportunities, which in turn helps institutions develop and implement business plans, set specific targets, allocate resources, and establish appropriate internal controls. The findings are also used to facilitate communication with stakeholders and to continuously improve the institution’s understanding and management of climate-related exposures. The guidance emphasises that scenario analysis is not merely a data-gathering exercise; rather, its results are integrated into broader business strategy, client engagement, and risk management processes. There is no explicit indication that the results are used solely for data collection or that they directly determine capital or liquidity buffer requirements, but they do play a significant role in shaping the institution’s overall approach to climate risk and resilience (pp. 18–29, 52–53).</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481969A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E340B">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11F799A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E340B">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7848CCB1" w:rsidR="00F26296" w:rsidRPr="00CF2E7C" w:rsidRDefault="00860FD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B63378D" w:rsidR="00F26296" w:rsidRPr="00860FD5" w:rsidRDefault="00860FD5" w:rsidP="00860FD5">
            <w:r>
              <w:rPr>
                <w:rFonts w:ascii="Calibri" w:eastAsia="BIZ UD明朝 Medium" w:hAnsi="Calibri" w:cs="Calibri"/>
              </w:rPr>
              <w:t>The policy tool addresses the consideration of climate-related risks in the assessment of capital requirements by stating that such risks are not a new risk category but act as "risk drivers" that influence existing risk categories—namely credit, market, liquidity, and operational risk (Section III.3(2), "Addressing financial institutions' risks," p. 27). The guidance recommends that financial institutions identify and manage climate-related risks that may materialise in the short term within their existing risk management frameworks, which includes the processes used for capital adequacy assessment. For medium- to long-term risks, institutions are encouraged to assess how climate-related risks could affect each risk category and to address them</w:t>
            </w:r>
            <w:r w:rsidR="00FB163E">
              <w:rPr>
                <w:rFonts w:ascii="Calibri" w:eastAsia="BIZ UD明朝 Medium" w:hAnsi="Calibri" w:cs="Calibri" w:hint="eastAsia"/>
                <w:lang w:eastAsia="ja-JP"/>
              </w:rPr>
              <w:t>,</w:t>
            </w:r>
            <w:r>
              <w:rPr>
                <w:rFonts w:ascii="Calibri" w:eastAsia="BIZ UD明朝 Medium" w:hAnsi="Calibri" w:cs="Calibri"/>
              </w:rPr>
              <w:t xml:space="preserve"> accordingly, taking into account their own business characteristics. Systemically important banks, in particular, are expected to evaluate the impact of climate-related risks and ensure their medium- to long-term financial soundness, so they can maintain their financial intermediation function even if such risks materialise (p. 28). This approach is positioned as a recommended practice rather than a formal requirement, reflecting the evolving nature of methodologies and international discussions in this area.</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4B7336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9125A">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37F3423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9125A">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35304E2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9125A">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1C9A413F" w:rsidR="00B114FD" w:rsidRPr="00953E3C" w:rsidRDefault="00FB163E" w:rsidP="00953E3C">
            <w:pPr>
              <w:ind w:firstLineChars="50" w:firstLine="120"/>
              <w:textAlignment w:val="baseline"/>
              <w:rPr>
                <w:rFonts w:ascii="Calibri" w:hAnsi="Calibri" w:cs="Calibri"/>
                <w:kern w:val="0"/>
                <w:lang w:eastAsia="ja-JP"/>
                <w14:ligatures w14:val="none"/>
              </w:rPr>
            </w:pPr>
            <w:r>
              <w:rPr>
                <w:rFonts w:ascii="Calibri" w:hAnsi="Calibri" w:cs="Calibri" w:hint="eastAsia"/>
                <w:kern w:val="0"/>
                <w:lang w:eastAsia="ja-JP"/>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1B3552F8" w:rsidR="00B114FD" w:rsidRPr="00CF2E7C" w:rsidRDefault="0049125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1190B6AB" w:rsidR="00FE0EA5" w:rsidRPr="009C4D10" w:rsidRDefault="00FE0EA5" w:rsidP="00CF2E7C">
            <w:pPr>
              <w:rPr>
                <w:rFonts w:cstheme="minorHAnsi"/>
              </w:rPr>
            </w:pPr>
            <w:r w:rsidRPr="009C4D10">
              <w:rPr>
                <w:rFonts w:cstheme="minorHAnsi"/>
                <w:lang w:val="en-SG"/>
              </w:rPr>
              <w:t> </w:t>
            </w:r>
            <w:r w:rsidRPr="009C4D10">
              <w:rPr>
                <w:rFonts w:cstheme="minorHAnsi"/>
              </w:rPr>
              <w:t> </w:t>
            </w:r>
            <w:r w:rsidR="0049125A">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5891A507" w:rsidR="00FE0EA5" w:rsidRPr="009C4D10" w:rsidRDefault="00FE0EA5" w:rsidP="00CF2E7C">
            <w:pPr>
              <w:rPr>
                <w:rFonts w:cstheme="minorHAnsi"/>
              </w:rPr>
            </w:pPr>
            <w:r w:rsidRPr="009C4D10">
              <w:rPr>
                <w:rFonts w:cstheme="minorHAnsi"/>
                <w:lang w:val="en-SG"/>
              </w:rPr>
              <w:t> </w:t>
            </w:r>
            <w:r w:rsidRPr="009C4D10">
              <w:rPr>
                <w:rFonts w:cstheme="minorHAnsi"/>
              </w:rPr>
              <w:t> </w:t>
            </w:r>
            <w:r w:rsidR="0049125A">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953E3C" w:rsidP="00CF2E7C">
            <w:pPr>
              <w:rPr>
                <w:rFonts w:cstheme="minorHAnsi"/>
              </w:rPr>
            </w:pPr>
            <w:hyperlink r:id="rId17"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36944762"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296B9E43" w:rsidR="00FE0EA5" w:rsidRPr="009C4D10" w:rsidRDefault="00FE0EA5" w:rsidP="00CF2E7C">
            <w:pPr>
              <w:rPr>
                <w:rFonts w:cstheme="minorHAnsi"/>
              </w:rPr>
            </w:pPr>
            <w:r w:rsidRPr="009C4D10">
              <w:rPr>
                <w:rFonts w:cstheme="minorHAnsi"/>
                <w:lang w:val="en-SG"/>
              </w:rPr>
              <w:t> </w:t>
            </w:r>
            <w:r w:rsidRPr="009C4D10">
              <w:rPr>
                <w:rFonts w:cstheme="minorHAnsi"/>
              </w:rPr>
              <w:t> </w:t>
            </w:r>
            <w:r w:rsidR="0049125A">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953E3C" w:rsidP="00CF2E7C">
            <w:pPr>
              <w:rPr>
                <w:rFonts w:cstheme="minorHAnsi"/>
              </w:rPr>
            </w:pPr>
            <w:hyperlink r:id="rId18"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1835257" w:rsidR="00FE0EA5" w:rsidRPr="009C4D10" w:rsidRDefault="00FE0EA5" w:rsidP="00CF2E7C">
            <w:pPr>
              <w:rPr>
                <w:rFonts w:cstheme="minorHAnsi"/>
              </w:rPr>
            </w:pPr>
            <w:r w:rsidRPr="009C4D10">
              <w:rPr>
                <w:rFonts w:cstheme="minorHAnsi"/>
                <w:lang w:val="en-SG"/>
              </w:rPr>
              <w:t> </w:t>
            </w:r>
            <w:r w:rsidRPr="009C4D10">
              <w:rPr>
                <w:rFonts w:cstheme="minorHAnsi"/>
              </w:rPr>
              <w:t> </w:t>
            </w:r>
            <w:r w:rsidR="0049125A">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4BB58127" w:rsidR="00FE0EA5" w:rsidRPr="009C4D10" w:rsidRDefault="00FE0EA5" w:rsidP="00CF2E7C">
            <w:pPr>
              <w:rPr>
                <w:rFonts w:cstheme="minorHAnsi"/>
              </w:rPr>
            </w:pPr>
            <w:r w:rsidRPr="009C4D10">
              <w:rPr>
                <w:rFonts w:cstheme="minorHAnsi"/>
                <w:lang w:val="en-SG"/>
              </w:rPr>
              <w:t> </w:t>
            </w:r>
            <w:r w:rsidRPr="009C4D10">
              <w:rPr>
                <w:rFonts w:cstheme="minorHAnsi"/>
              </w:rPr>
              <w:t> </w:t>
            </w:r>
            <w:r w:rsidR="0049125A">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5D5A95A4" w:rsidR="00FE0EA5" w:rsidRPr="009C4D10" w:rsidRDefault="00FE0EA5" w:rsidP="00CF2E7C">
            <w:pPr>
              <w:rPr>
                <w:rFonts w:cstheme="minorHAnsi"/>
              </w:rPr>
            </w:pPr>
            <w:r w:rsidRPr="009C4D10">
              <w:rPr>
                <w:rFonts w:cstheme="minorHAnsi"/>
              </w:rPr>
              <w:t>  </w:t>
            </w:r>
            <w:r w:rsidR="0049125A">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A78F49C" w14:textId="77777777" w:rsidR="006E48D6" w:rsidRDefault="006E48D6" w:rsidP="006E48D6">
            <w:pPr>
              <w:pStyle w:val="a9"/>
              <w:widowControl w:val="0"/>
              <w:numPr>
                <w:ilvl w:val="0"/>
                <w:numId w:val="52"/>
              </w:numPr>
              <w:spacing w:before="0" w:after="160" w:line="256" w:lineRule="auto"/>
              <w:jc w:val="both"/>
              <w:rPr>
                <w:rFonts w:ascii="Calibri" w:hAnsi="Calibri" w:cs="Calibri"/>
              </w:rPr>
            </w:pPr>
            <w:r>
              <w:rPr>
                <w:rFonts w:ascii="Calibri" w:hAnsi="Calibri" w:cs="Calibri"/>
              </w:rPr>
              <w:t xml:space="preserve">ICMA Green Bond Principles:  </w:t>
            </w:r>
            <w:hyperlink r:id="rId19" w:history="1">
              <w:r>
                <w:rPr>
                  <w:rStyle w:val="ab"/>
                  <w:rFonts w:ascii="Calibri" w:hAnsi="Calibri" w:cs="Calibri"/>
                </w:rPr>
                <w:t>Green Bond Principles » ICMA</w:t>
              </w:r>
            </w:hyperlink>
          </w:p>
          <w:p w14:paraId="3D4CF12B" w14:textId="77777777" w:rsidR="006E48D6" w:rsidRDefault="006E48D6" w:rsidP="006E48D6">
            <w:pPr>
              <w:pStyle w:val="a9"/>
              <w:widowControl w:val="0"/>
              <w:numPr>
                <w:ilvl w:val="0"/>
                <w:numId w:val="52"/>
              </w:numPr>
              <w:spacing w:before="0" w:after="160" w:line="256" w:lineRule="auto"/>
              <w:jc w:val="both"/>
              <w:rPr>
                <w:rFonts w:ascii="Calibri" w:hAnsi="Calibri" w:cs="Calibri"/>
              </w:rPr>
            </w:pPr>
            <w:r>
              <w:rPr>
                <w:rFonts w:ascii="Calibri" w:hAnsi="Calibri" w:cs="Calibri"/>
              </w:rPr>
              <w:t xml:space="preserve">EU Taxonomy:  </w:t>
            </w:r>
            <w:hyperlink r:id="rId20" w:history="1">
              <w:r>
                <w:rPr>
                  <w:rStyle w:val="ab"/>
                  <w:rFonts w:ascii="Calibri" w:hAnsi="Calibri" w:cs="Calibri"/>
                </w:rPr>
                <w:t>EU taxonomy for sustainable activities - European Commission</w:t>
              </w:r>
            </w:hyperlink>
          </w:p>
          <w:p w14:paraId="4BCCD90F" w14:textId="77777777" w:rsidR="006E48D6" w:rsidRDefault="006E48D6" w:rsidP="006E48D6">
            <w:pPr>
              <w:pStyle w:val="a9"/>
              <w:widowControl w:val="0"/>
              <w:numPr>
                <w:ilvl w:val="0"/>
                <w:numId w:val="52"/>
              </w:numPr>
              <w:spacing w:before="0" w:after="160" w:line="256" w:lineRule="auto"/>
              <w:jc w:val="both"/>
              <w:rPr>
                <w:rFonts w:ascii="Calibri" w:hAnsi="Calibri" w:cs="Calibri"/>
              </w:rPr>
            </w:pPr>
            <w:r>
              <w:rPr>
                <w:rFonts w:ascii="Calibri" w:hAnsi="Calibri" w:cs="Calibri"/>
              </w:rPr>
              <w:t xml:space="preserve">ASEAN Taxonomy: </w:t>
            </w:r>
            <w:hyperlink r:id="rId21" w:history="1">
              <w:r>
                <w:rPr>
                  <w:rStyle w:val="ab"/>
                  <w:rFonts w:ascii="Calibri" w:hAnsi="Calibri" w:cs="Calibri"/>
                </w:rPr>
                <w:t>ASEAN Taxonomy | Sustainable Finance Institute Asia</w:t>
              </w:r>
            </w:hyperlink>
          </w:p>
          <w:p w14:paraId="0CAFF782" w14:textId="77777777" w:rsidR="006E48D6" w:rsidRDefault="006E48D6" w:rsidP="006E48D6">
            <w:pPr>
              <w:pStyle w:val="a9"/>
              <w:widowControl w:val="0"/>
              <w:numPr>
                <w:ilvl w:val="0"/>
                <w:numId w:val="52"/>
              </w:numPr>
              <w:spacing w:before="0" w:after="160" w:line="256" w:lineRule="auto"/>
              <w:jc w:val="both"/>
              <w:rPr>
                <w:rFonts w:ascii="Calibri" w:hAnsi="Calibri" w:cs="Calibri"/>
              </w:rPr>
            </w:pPr>
            <w:r>
              <w:rPr>
                <w:rFonts w:ascii="Calibri" w:hAnsi="Calibri" w:cs="Calibri"/>
              </w:rPr>
              <w:t xml:space="preserve">Science Based Targets initiative (SBTi): </w:t>
            </w:r>
            <w:hyperlink r:id="rId22" w:history="1">
              <w:r>
                <w:rPr>
                  <w:rStyle w:val="ab"/>
                  <w:rFonts w:ascii="Calibri" w:hAnsi="Calibri" w:cs="Calibri"/>
                </w:rPr>
                <w:t>Science Based Targets Initiative</w:t>
              </w:r>
            </w:hyperlink>
          </w:p>
          <w:p w14:paraId="55B6EEA6" w14:textId="77777777" w:rsidR="006E48D6" w:rsidRDefault="006E48D6" w:rsidP="006E48D6">
            <w:pPr>
              <w:pStyle w:val="a9"/>
              <w:widowControl w:val="0"/>
              <w:numPr>
                <w:ilvl w:val="0"/>
                <w:numId w:val="52"/>
              </w:numPr>
              <w:spacing w:before="0" w:after="160" w:line="256" w:lineRule="auto"/>
              <w:jc w:val="both"/>
              <w:rPr>
                <w:rFonts w:ascii="Calibri" w:hAnsi="Calibri" w:cs="Calibri"/>
              </w:rPr>
            </w:pPr>
            <w:r>
              <w:rPr>
                <w:rFonts w:ascii="Calibri" w:hAnsi="Calibri" w:cs="Calibri"/>
              </w:rPr>
              <w:t xml:space="preserve">Partnership for Carbon Accounting Financials (PCAF): </w:t>
            </w:r>
            <w:hyperlink r:id="rId23" w:history="1">
              <w:r>
                <w:rPr>
                  <w:rStyle w:val="ab"/>
                  <w:rFonts w:ascii="Calibri" w:hAnsi="Calibri" w:cs="Calibri"/>
                </w:rPr>
                <w:t>PCAF</w:t>
              </w:r>
            </w:hyperlink>
          </w:p>
          <w:p w14:paraId="65EE2786" w14:textId="77777777" w:rsidR="006E48D6" w:rsidRDefault="006E48D6" w:rsidP="006E48D6">
            <w:pPr>
              <w:pStyle w:val="a9"/>
              <w:widowControl w:val="0"/>
              <w:numPr>
                <w:ilvl w:val="0"/>
                <w:numId w:val="52"/>
              </w:numPr>
              <w:spacing w:before="0" w:after="160" w:line="256" w:lineRule="auto"/>
              <w:jc w:val="both"/>
              <w:rPr>
                <w:rFonts w:ascii="Calibri" w:hAnsi="Calibri" w:cs="Calibri"/>
              </w:rPr>
            </w:pPr>
            <w:r>
              <w:rPr>
                <w:rFonts w:ascii="Calibri" w:hAnsi="Calibri" w:cs="Calibri"/>
              </w:rPr>
              <w:t xml:space="preserve">Principles for Responsible Investment (PRI): </w:t>
            </w:r>
            <w:hyperlink r:id="rId24" w:history="1">
              <w:r>
                <w:rPr>
                  <w:rStyle w:val="ab"/>
                  <w:rFonts w:ascii="Calibri" w:hAnsi="Calibri" w:cs="Calibri"/>
                </w:rPr>
                <w:t>PRI | Home</w:t>
              </w:r>
            </w:hyperlink>
          </w:p>
          <w:p w14:paraId="7C6F3BFB" w14:textId="77777777" w:rsidR="006E48D6" w:rsidRDefault="006E48D6" w:rsidP="006E48D6">
            <w:pPr>
              <w:pStyle w:val="a9"/>
              <w:widowControl w:val="0"/>
              <w:numPr>
                <w:ilvl w:val="0"/>
                <w:numId w:val="52"/>
              </w:numPr>
              <w:spacing w:before="0" w:after="160" w:line="256" w:lineRule="auto"/>
              <w:jc w:val="both"/>
              <w:rPr>
                <w:rFonts w:ascii="Calibri" w:hAnsi="Calibri" w:cs="Calibri"/>
              </w:rPr>
            </w:pPr>
            <w:r>
              <w:rPr>
                <w:rFonts w:ascii="Calibri" w:hAnsi="Calibri" w:cs="Calibri"/>
              </w:rPr>
              <w:t xml:space="preserve">Principles for Sustainable Insurance (PSI): </w:t>
            </w:r>
            <w:hyperlink r:id="rId25" w:history="1">
              <w:r>
                <w:rPr>
                  <w:rStyle w:val="ab"/>
                  <w:rFonts w:ascii="Calibri" w:hAnsi="Calibri" w:cs="Calibri"/>
                </w:rPr>
                <w:t>PSI</w:t>
              </w:r>
            </w:hyperlink>
          </w:p>
          <w:p w14:paraId="7478C0BE" w14:textId="24E5875B" w:rsidR="00C01AF9" w:rsidRPr="006E48D6" w:rsidRDefault="006E48D6" w:rsidP="006E48D6">
            <w:pPr>
              <w:pStyle w:val="a9"/>
              <w:widowControl w:val="0"/>
              <w:numPr>
                <w:ilvl w:val="0"/>
                <w:numId w:val="52"/>
              </w:numPr>
              <w:spacing w:before="0" w:after="160" w:line="256" w:lineRule="auto"/>
              <w:jc w:val="both"/>
              <w:rPr>
                <w:rFonts w:ascii="Calibri" w:hAnsi="Calibri" w:cs="Calibri"/>
              </w:rPr>
            </w:pPr>
            <w:r>
              <w:rPr>
                <w:rFonts w:ascii="Calibri" w:hAnsi="Calibri" w:cs="Calibri"/>
              </w:rPr>
              <w:t xml:space="preserve">Principles for Responsible Banking (PRB): </w:t>
            </w:r>
            <w:hyperlink r:id="rId26" w:history="1">
              <w:r>
                <w:rPr>
                  <w:rStyle w:val="ab"/>
                  <w:rFonts w:ascii="Calibri" w:hAnsi="Calibri" w:cs="Calibri"/>
                </w:rPr>
                <w:t>PRB</w:t>
              </w:r>
            </w:hyperlink>
          </w:p>
        </w:tc>
      </w:tr>
    </w:tbl>
    <w:p w14:paraId="6EB6D981" w14:textId="51801995" w:rsidR="33822AF7" w:rsidRDefault="33822AF7">
      <w:r>
        <w:br w:type="page"/>
      </w:r>
    </w:p>
    <w:p w14:paraId="75C57361" w14:textId="77777777" w:rsidR="00D4323A" w:rsidRDefault="00D4323A" w:rsidP="466E435B">
      <w:pPr>
        <w:pStyle w:val="1"/>
      </w:pPr>
      <w:bookmarkStart w:id="52" w:name="_Toc198223638"/>
      <w:r>
        <w:t>Domain 6: Methane Abatement</w:t>
      </w:r>
      <w:bookmarkEnd w:id="52"/>
    </w:p>
    <w:p w14:paraId="144EDD37" w14:textId="77777777" w:rsidR="002F0752" w:rsidRDefault="002F0752" w:rsidP="002F0752">
      <w:pPr>
        <w:pStyle w:val="2"/>
        <w:rPr>
          <w:rFonts w:ascii="Calibri" w:eastAsia="Calibri" w:hAnsi="Calibri" w:cs="Calibri"/>
          <w:color w:val="000000" w:themeColor="text1"/>
        </w:rPr>
      </w:pPr>
      <w:bookmarkStart w:id="53" w:name="_Toc198223639"/>
      <w:r>
        <w:t>Section 6.1: Who is being targeted?</w:t>
      </w:r>
      <w:bookmarkEnd w:id="53"/>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C70F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A788DF" w14:textId="77777777" w:rsidR="00B66653" w:rsidRDefault="00B66653" w:rsidP="00874E39">
      <w:r>
        <w:separator/>
      </w:r>
    </w:p>
  </w:endnote>
  <w:endnote w:type="continuationSeparator" w:id="0">
    <w:p w14:paraId="1EC5B6BB" w14:textId="77777777" w:rsidR="00B66653" w:rsidRDefault="00B66653" w:rsidP="00874E39">
      <w:r>
        <w:continuationSeparator/>
      </w:r>
    </w:p>
  </w:endnote>
  <w:endnote w:type="continuationNotice" w:id="1">
    <w:p w14:paraId="6FF1BD90" w14:textId="77777777" w:rsidR="00B66653" w:rsidRDefault="00B666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Mulish">
    <w:altName w:val="Calibri"/>
    <w:charset w:val="4D"/>
    <w:family w:val="auto"/>
    <w:pitch w:val="variable"/>
    <w:sig w:usb0="A00002FF" w:usb1="5000204B" w:usb2="00000000" w:usb3="00000000" w:csb0="00000197" w:csb1="00000000"/>
  </w:font>
  <w:font w:name="BIZ UD明朝 Medium">
    <w:panose1 w:val="02020500000000000000"/>
    <w:charset w:val="80"/>
    <w:family w:val="roman"/>
    <w:pitch w:val="fixed"/>
    <w:sig w:usb0="E00002F7" w:usb1="2AC7EDF8" w:usb2="00000012"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527773AC" w14:textId="740704FD"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772E9E2F"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3"/>
      <w:framePr w:h="878" w:hRule="exact" w:wrap="none" w:vAnchor="text" w:hAnchor="margin" w:xAlign="right" w:y="139"/>
      <w:jc w:val="right"/>
      <w:rPr>
        <w:rStyle w:val="af5"/>
        <w:color w:val="18223E"/>
        <w:sz w:val="20"/>
        <w:szCs w:val="20"/>
      </w:rPr>
    </w:pPr>
  </w:p>
  <w:p w14:paraId="5C880F20" w14:textId="6C4E7FD0"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4CAE79EB" w14:textId="28D953BE"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C465404" id="Group 3" o:spid="_x0000_s1026" style="position:absolute;left:0;text-align:left;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BF1739" w14:textId="77777777" w:rsidR="00B66653" w:rsidRDefault="00B66653" w:rsidP="00874E39">
      <w:r>
        <w:separator/>
      </w:r>
    </w:p>
  </w:footnote>
  <w:footnote w:type="continuationSeparator" w:id="0">
    <w:p w14:paraId="66BB1272" w14:textId="77777777" w:rsidR="00B66653" w:rsidRDefault="00B66653" w:rsidP="00874E39">
      <w:r>
        <w:continuationSeparator/>
      </w:r>
    </w:p>
  </w:footnote>
  <w:footnote w:type="continuationNotice" w:id="1">
    <w:p w14:paraId="1F4FC297" w14:textId="77777777" w:rsidR="00B66653" w:rsidRDefault="00B6665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7"/>
            <w:ind w:left="-115"/>
          </w:pPr>
        </w:p>
      </w:tc>
      <w:tc>
        <w:tcPr>
          <w:tcW w:w="3485" w:type="dxa"/>
        </w:tcPr>
        <w:p w14:paraId="04884984" w14:textId="3A1DF521" w:rsidR="6D73AD7A" w:rsidRDefault="6D73AD7A" w:rsidP="6D73AD7A">
          <w:pPr>
            <w:pStyle w:val="af7"/>
            <w:jc w:val="center"/>
          </w:pPr>
        </w:p>
      </w:tc>
      <w:tc>
        <w:tcPr>
          <w:tcW w:w="3485" w:type="dxa"/>
        </w:tcPr>
        <w:p w14:paraId="461B504B" w14:textId="710878DC" w:rsidR="6D73AD7A" w:rsidRDefault="6D73AD7A" w:rsidP="6D73AD7A">
          <w:pPr>
            <w:pStyle w:val="af7"/>
            <w:ind w:right="-115"/>
            <w:jc w:val="right"/>
          </w:pPr>
        </w:p>
      </w:tc>
    </w:tr>
  </w:tbl>
  <w:p w14:paraId="4E3F7338" w14:textId="24652282"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7"/>
            <w:ind w:left="-115"/>
          </w:pPr>
        </w:p>
      </w:tc>
      <w:tc>
        <w:tcPr>
          <w:tcW w:w="3485" w:type="dxa"/>
        </w:tcPr>
        <w:p w14:paraId="1A6A8504" w14:textId="77777777" w:rsidR="00AA4965" w:rsidRDefault="00AA4965" w:rsidP="6D73AD7A">
          <w:pPr>
            <w:pStyle w:val="af7"/>
            <w:jc w:val="center"/>
          </w:pPr>
        </w:p>
      </w:tc>
      <w:tc>
        <w:tcPr>
          <w:tcW w:w="3485" w:type="dxa"/>
        </w:tcPr>
        <w:p w14:paraId="037D9CBC" w14:textId="77777777" w:rsidR="00AA4965" w:rsidRDefault="00AA4965" w:rsidP="6D73AD7A">
          <w:pPr>
            <w:pStyle w:val="af7"/>
            <w:ind w:right="-115"/>
            <w:jc w:val="right"/>
          </w:pPr>
        </w:p>
      </w:tc>
    </w:tr>
  </w:tbl>
  <w:p w14:paraId="6739A47D"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6416E5F"/>
    <w:multiLevelType w:val="hybridMultilevel"/>
    <w:tmpl w:val="14AEDE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490CCF"/>
    <w:multiLevelType w:val="hybridMultilevel"/>
    <w:tmpl w:val="016A9A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4EF4200B"/>
    <w:multiLevelType w:val="hybridMultilevel"/>
    <w:tmpl w:val="EFB200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C3A5D86"/>
    <w:multiLevelType w:val="hybridMultilevel"/>
    <w:tmpl w:val="31B68D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2" w15:restartNumberingAfterBreak="0">
    <w:nsid w:val="78EE1C6E"/>
    <w:multiLevelType w:val="hybridMultilevel"/>
    <w:tmpl w:val="3BA0DE9A"/>
    <w:lvl w:ilvl="0" w:tplc="C018E588">
      <w:start w:val="5"/>
      <w:numFmt w:val="bullet"/>
      <w:lvlText w:val="-"/>
      <w:lvlJc w:val="left"/>
      <w:pPr>
        <w:ind w:left="360" w:hanging="360"/>
      </w:pPr>
      <w:rPr>
        <w:rFonts w:ascii="Calibri" w:eastAsiaTheme="minorEastAsia" w:hAnsi="Calibri" w:cs="Calibri"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num w:numId="1" w16cid:durableId="680666882">
    <w:abstractNumId w:val="17"/>
  </w:num>
  <w:num w:numId="2" w16cid:durableId="482308869">
    <w:abstractNumId w:val="24"/>
  </w:num>
  <w:num w:numId="3" w16cid:durableId="690952733">
    <w:abstractNumId w:val="45"/>
  </w:num>
  <w:num w:numId="4" w16cid:durableId="1689330127">
    <w:abstractNumId w:val="1"/>
  </w:num>
  <w:num w:numId="5" w16cid:durableId="401291788">
    <w:abstractNumId w:val="30"/>
  </w:num>
  <w:num w:numId="6" w16cid:durableId="1276788690">
    <w:abstractNumId w:val="14"/>
  </w:num>
  <w:num w:numId="7" w16cid:durableId="566767730">
    <w:abstractNumId w:val="21"/>
  </w:num>
  <w:num w:numId="8" w16cid:durableId="1780710843">
    <w:abstractNumId w:val="37"/>
  </w:num>
  <w:num w:numId="9" w16cid:durableId="1685783054">
    <w:abstractNumId w:val="3"/>
  </w:num>
  <w:num w:numId="10" w16cid:durableId="950551298">
    <w:abstractNumId w:val="33"/>
  </w:num>
  <w:num w:numId="11" w16cid:durableId="1591960799">
    <w:abstractNumId w:val="51"/>
  </w:num>
  <w:num w:numId="12" w16cid:durableId="1344891410">
    <w:abstractNumId w:val="10"/>
  </w:num>
  <w:num w:numId="13" w16cid:durableId="2023899324">
    <w:abstractNumId w:val="12"/>
  </w:num>
  <w:num w:numId="14" w16cid:durableId="430587014">
    <w:abstractNumId w:val="7"/>
  </w:num>
  <w:num w:numId="15" w16cid:durableId="1742869061">
    <w:abstractNumId w:val="32"/>
  </w:num>
  <w:num w:numId="16" w16cid:durableId="1996450437">
    <w:abstractNumId w:val="20"/>
  </w:num>
  <w:num w:numId="17" w16cid:durableId="1529031027">
    <w:abstractNumId w:val="9"/>
  </w:num>
  <w:num w:numId="18" w16cid:durableId="568614617">
    <w:abstractNumId w:val="18"/>
  </w:num>
  <w:num w:numId="19" w16cid:durableId="1530605858">
    <w:abstractNumId w:val="46"/>
  </w:num>
  <w:num w:numId="20" w16cid:durableId="1328172586">
    <w:abstractNumId w:val="16"/>
  </w:num>
  <w:num w:numId="21" w16cid:durableId="184827816">
    <w:abstractNumId w:val="29"/>
  </w:num>
  <w:num w:numId="22" w16cid:durableId="1785346599">
    <w:abstractNumId w:val="36"/>
  </w:num>
  <w:num w:numId="23" w16cid:durableId="1294288901">
    <w:abstractNumId w:val="28"/>
  </w:num>
  <w:num w:numId="24" w16cid:durableId="1603957975">
    <w:abstractNumId w:val="48"/>
  </w:num>
  <w:num w:numId="25" w16cid:durableId="1659531047">
    <w:abstractNumId w:val="47"/>
  </w:num>
  <w:num w:numId="26" w16cid:durableId="752774403">
    <w:abstractNumId w:val="23"/>
  </w:num>
  <w:num w:numId="27" w16cid:durableId="347872198">
    <w:abstractNumId w:val="6"/>
  </w:num>
  <w:num w:numId="28" w16cid:durableId="537133110">
    <w:abstractNumId w:val="13"/>
  </w:num>
  <w:num w:numId="29" w16cid:durableId="1632318729">
    <w:abstractNumId w:val="49"/>
  </w:num>
  <w:num w:numId="30" w16cid:durableId="1268124074">
    <w:abstractNumId w:val="34"/>
  </w:num>
  <w:num w:numId="31" w16cid:durableId="887108748">
    <w:abstractNumId w:val="31"/>
  </w:num>
  <w:num w:numId="32" w16cid:durableId="1826125712">
    <w:abstractNumId w:val="38"/>
  </w:num>
  <w:num w:numId="33" w16cid:durableId="823357978">
    <w:abstractNumId w:val="42"/>
  </w:num>
  <w:num w:numId="34" w16cid:durableId="1092120443">
    <w:abstractNumId w:val="41"/>
  </w:num>
  <w:num w:numId="35" w16cid:durableId="124861188">
    <w:abstractNumId w:val="11"/>
  </w:num>
  <w:num w:numId="36" w16cid:durableId="1952588250">
    <w:abstractNumId w:val="40"/>
  </w:num>
  <w:num w:numId="37" w16cid:durableId="1712027211">
    <w:abstractNumId w:val="4"/>
  </w:num>
  <w:num w:numId="38" w16cid:durableId="2033795929">
    <w:abstractNumId w:val="2"/>
  </w:num>
  <w:num w:numId="39" w16cid:durableId="1238595582">
    <w:abstractNumId w:val="26"/>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4"/>
  </w:num>
  <w:num w:numId="46" w16cid:durableId="947811845">
    <w:abstractNumId w:val="50"/>
  </w:num>
  <w:num w:numId="47" w16cid:durableId="342588554">
    <w:abstractNumId w:val="27"/>
  </w:num>
  <w:num w:numId="48" w16cid:durableId="318391343">
    <w:abstractNumId w:val="39"/>
  </w:num>
  <w:num w:numId="49" w16cid:durableId="1769041465">
    <w:abstractNumId w:val="25"/>
  </w:num>
  <w:num w:numId="50" w16cid:durableId="985745058">
    <w:abstractNumId w:val="43"/>
  </w:num>
  <w:num w:numId="51" w16cid:durableId="1263758039">
    <w:abstractNumId w:val="8"/>
  </w:num>
  <w:num w:numId="52" w16cid:durableId="633364294">
    <w:abstractNumId w:val="35"/>
  </w:num>
  <w:num w:numId="53" w16cid:durableId="1537887609">
    <w:abstractNumId w:val="5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trackRevisions/>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0F8"/>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A58"/>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6F9C"/>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2B8"/>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006"/>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67E12"/>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5564"/>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25A"/>
    <w:rsid w:val="0049168C"/>
    <w:rsid w:val="00492046"/>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04AF"/>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19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48D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1B6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6E1"/>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3799"/>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1D3A"/>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301"/>
    <w:rsid w:val="00851476"/>
    <w:rsid w:val="00852E32"/>
    <w:rsid w:val="00853253"/>
    <w:rsid w:val="00854B57"/>
    <w:rsid w:val="00854CE2"/>
    <w:rsid w:val="0085591B"/>
    <w:rsid w:val="008569FA"/>
    <w:rsid w:val="008577E3"/>
    <w:rsid w:val="00860CA9"/>
    <w:rsid w:val="00860FD5"/>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90"/>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3C"/>
    <w:rsid w:val="00953E75"/>
    <w:rsid w:val="009556EA"/>
    <w:rsid w:val="00955BFF"/>
    <w:rsid w:val="00956390"/>
    <w:rsid w:val="0095736B"/>
    <w:rsid w:val="00960F14"/>
    <w:rsid w:val="009612D3"/>
    <w:rsid w:val="00962064"/>
    <w:rsid w:val="00962F14"/>
    <w:rsid w:val="00963A39"/>
    <w:rsid w:val="00963DC5"/>
    <w:rsid w:val="00964491"/>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979CC"/>
    <w:rsid w:val="009A0851"/>
    <w:rsid w:val="009A1530"/>
    <w:rsid w:val="009A15B3"/>
    <w:rsid w:val="009A2F67"/>
    <w:rsid w:val="009A322B"/>
    <w:rsid w:val="009A4BC9"/>
    <w:rsid w:val="009A50A0"/>
    <w:rsid w:val="009A5C4E"/>
    <w:rsid w:val="009A639D"/>
    <w:rsid w:val="009A66B8"/>
    <w:rsid w:val="009A6D57"/>
    <w:rsid w:val="009B139A"/>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6A26"/>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B18"/>
    <w:rsid w:val="00AE7C5F"/>
    <w:rsid w:val="00AF08A8"/>
    <w:rsid w:val="00AF2019"/>
    <w:rsid w:val="00AF26B7"/>
    <w:rsid w:val="00AF30FD"/>
    <w:rsid w:val="00AF3905"/>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4F91"/>
    <w:rsid w:val="00B65F11"/>
    <w:rsid w:val="00B66653"/>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13C"/>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40B"/>
    <w:rsid w:val="00BE3B1E"/>
    <w:rsid w:val="00BE46F4"/>
    <w:rsid w:val="00BE4F54"/>
    <w:rsid w:val="00BE525E"/>
    <w:rsid w:val="00BE5C59"/>
    <w:rsid w:val="00BE627E"/>
    <w:rsid w:val="00BE71DD"/>
    <w:rsid w:val="00BF0AB6"/>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206"/>
    <w:rsid w:val="00CA1535"/>
    <w:rsid w:val="00CA2D31"/>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0FA"/>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782F"/>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6FE"/>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DCC"/>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942"/>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63E"/>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5899247">
      <w:bodyDiv w:val="1"/>
      <w:marLeft w:val="0"/>
      <w:marRight w:val="0"/>
      <w:marTop w:val="0"/>
      <w:marBottom w:val="0"/>
      <w:divBdr>
        <w:top w:val="none" w:sz="0" w:space="0" w:color="auto"/>
        <w:left w:val="none" w:sz="0" w:space="0" w:color="auto"/>
        <w:bottom w:val="none" w:sz="0" w:space="0" w:color="auto"/>
        <w:right w:val="none" w:sz="0" w:space="0" w:color="auto"/>
      </w:divBdr>
    </w:div>
    <w:div w:id="231894724">
      <w:bodyDiv w:val="1"/>
      <w:marLeft w:val="0"/>
      <w:marRight w:val="0"/>
      <w:marTop w:val="0"/>
      <w:marBottom w:val="0"/>
      <w:divBdr>
        <w:top w:val="none" w:sz="0" w:space="0" w:color="auto"/>
        <w:left w:val="none" w:sz="0" w:space="0" w:color="auto"/>
        <w:bottom w:val="none" w:sz="0" w:space="0" w:color="auto"/>
        <w:right w:val="none" w:sz="0" w:space="0" w:color="auto"/>
      </w:divBdr>
    </w:div>
    <w:div w:id="26955585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60687831">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416248">
      <w:bodyDiv w:val="1"/>
      <w:marLeft w:val="0"/>
      <w:marRight w:val="0"/>
      <w:marTop w:val="0"/>
      <w:marBottom w:val="0"/>
      <w:divBdr>
        <w:top w:val="none" w:sz="0" w:space="0" w:color="auto"/>
        <w:left w:val="none" w:sz="0" w:space="0" w:color="auto"/>
        <w:bottom w:val="none" w:sz="0" w:space="0" w:color="auto"/>
        <w:right w:val="none" w:sz="0" w:space="0" w:color="auto"/>
      </w:divBdr>
    </w:div>
    <w:div w:id="1045638393">
      <w:bodyDiv w:val="1"/>
      <w:marLeft w:val="0"/>
      <w:marRight w:val="0"/>
      <w:marTop w:val="0"/>
      <w:marBottom w:val="0"/>
      <w:divBdr>
        <w:top w:val="none" w:sz="0" w:space="0" w:color="auto"/>
        <w:left w:val="none" w:sz="0" w:space="0" w:color="auto"/>
        <w:bottom w:val="none" w:sz="0" w:space="0" w:color="auto"/>
        <w:right w:val="none" w:sz="0" w:space="0" w:color="auto"/>
      </w:divBdr>
    </w:div>
    <w:div w:id="1061829428">
      <w:bodyDiv w:val="1"/>
      <w:marLeft w:val="0"/>
      <w:marRight w:val="0"/>
      <w:marTop w:val="0"/>
      <w:marBottom w:val="0"/>
      <w:divBdr>
        <w:top w:val="none" w:sz="0" w:space="0" w:color="auto"/>
        <w:left w:val="none" w:sz="0" w:space="0" w:color="auto"/>
        <w:bottom w:val="none" w:sz="0" w:space="0" w:color="auto"/>
        <w:right w:val="none" w:sz="0" w:space="0" w:color="auto"/>
      </w:divBdr>
    </w:div>
    <w:div w:id="108862067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8275842">
      <w:bodyDiv w:val="1"/>
      <w:marLeft w:val="0"/>
      <w:marRight w:val="0"/>
      <w:marTop w:val="0"/>
      <w:marBottom w:val="0"/>
      <w:divBdr>
        <w:top w:val="none" w:sz="0" w:space="0" w:color="auto"/>
        <w:left w:val="none" w:sz="0" w:space="0" w:color="auto"/>
        <w:bottom w:val="none" w:sz="0" w:space="0" w:color="auto"/>
        <w:right w:val="none" w:sz="0" w:space="0" w:color="auto"/>
      </w:divBdr>
    </w:div>
    <w:div w:id="1231843471">
      <w:bodyDiv w:val="1"/>
      <w:marLeft w:val="0"/>
      <w:marRight w:val="0"/>
      <w:marTop w:val="0"/>
      <w:marBottom w:val="0"/>
      <w:divBdr>
        <w:top w:val="none" w:sz="0" w:space="0" w:color="auto"/>
        <w:left w:val="none" w:sz="0" w:space="0" w:color="auto"/>
        <w:bottom w:val="none" w:sz="0" w:space="0" w:color="auto"/>
        <w:right w:val="none" w:sz="0" w:space="0" w:color="auto"/>
      </w:divBdr>
    </w:div>
    <w:div w:id="1570189874">
      <w:bodyDiv w:val="1"/>
      <w:marLeft w:val="0"/>
      <w:marRight w:val="0"/>
      <w:marTop w:val="0"/>
      <w:marBottom w:val="0"/>
      <w:divBdr>
        <w:top w:val="none" w:sz="0" w:space="0" w:color="auto"/>
        <w:left w:val="none" w:sz="0" w:space="0" w:color="auto"/>
        <w:bottom w:val="none" w:sz="0" w:space="0" w:color="auto"/>
        <w:right w:val="none" w:sz="0" w:space="0" w:color="auto"/>
      </w:divBdr>
    </w:div>
    <w:div w:id="1656448667">
      <w:bodyDiv w:val="1"/>
      <w:marLeft w:val="0"/>
      <w:marRight w:val="0"/>
      <w:marTop w:val="0"/>
      <w:marBottom w:val="0"/>
      <w:divBdr>
        <w:top w:val="none" w:sz="0" w:space="0" w:color="auto"/>
        <w:left w:val="none" w:sz="0" w:space="0" w:color="auto"/>
        <w:bottom w:val="none" w:sz="0" w:space="0" w:color="auto"/>
        <w:right w:val="none" w:sz="0" w:space="0" w:color="auto"/>
      </w:divBdr>
    </w:div>
    <w:div w:id="167275461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37908311">
      <w:bodyDiv w:val="1"/>
      <w:marLeft w:val="0"/>
      <w:marRight w:val="0"/>
      <w:marTop w:val="0"/>
      <w:marBottom w:val="0"/>
      <w:divBdr>
        <w:top w:val="none" w:sz="0" w:space="0" w:color="auto"/>
        <w:left w:val="none" w:sz="0" w:space="0" w:color="auto"/>
        <w:bottom w:val="none" w:sz="0" w:space="0" w:color="auto"/>
        <w:right w:val="none" w:sz="0" w:space="0" w:color="auto"/>
      </w:divBdr>
    </w:div>
    <w:div w:id="1969778613">
      <w:bodyDiv w:val="1"/>
      <w:marLeft w:val="0"/>
      <w:marRight w:val="0"/>
      <w:marTop w:val="0"/>
      <w:marBottom w:val="0"/>
      <w:divBdr>
        <w:top w:val="none" w:sz="0" w:space="0" w:color="auto"/>
        <w:left w:val="none" w:sz="0" w:space="0" w:color="auto"/>
        <w:bottom w:val="none" w:sz="0" w:space="0" w:color="auto"/>
        <w:right w:val="none" w:sz="0" w:space="0" w:color="auto"/>
      </w:divBdr>
    </w:div>
    <w:div w:id="2006785640">
      <w:bodyDiv w:val="1"/>
      <w:marLeft w:val="0"/>
      <w:marRight w:val="0"/>
      <w:marTop w:val="0"/>
      <w:marBottom w:val="0"/>
      <w:divBdr>
        <w:top w:val="none" w:sz="0" w:space="0" w:color="auto"/>
        <w:left w:val="none" w:sz="0" w:space="0" w:color="auto"/>
        <w:bottom w:val="none" w:sz="0" w:space="0" w:color="auto"/>
        <w:right w:val="none" w:sz="0" w:space="0" w:color="auto"/>
      </w:divBdr>
    </w:div>
    <w:div w:id="205064106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26" Type="http://schemas.openxmlformats.org/officeDocument/2006/relationships/hyperlink" Target="https://www.unepfi.org/banking/bankingprinciples/" TargetMode="External"/><Relationship Id="rId3" Type="http://schemas.openxmlformats.org/officeDocument/2006/relationships/customXml" Target="../customXml/item3.xml"/><Relationship Id="rId21" Type="http://schemas.openxmlformats.org/officeDocument/2006/relationships/hyperlink" Target="https://www.sfinstitute.asia/asean-taxonomy/"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5" Type="http://schemas.openxmlformats.org/officeDocument/2006/relationships/hyperlink" Target="https://www.unepfi.org/insurance/insurance/"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finance.ec.europa.eu/sustainable-finance/tools-and-standards/eu-taxonomy-sustainable-activities_en"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unpri.org/"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carbonaccountingfinancials.com/"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icmagroup.org/sustainable-finance/the-principles-guidelines-and-handbooks/green-bond-principles-gb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sciencebasedtargets.org/" TargetMode="External"/><Relationship Id="rId27"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114</Pages>
  <Words>24203</Words>
  <Characters>137960</Characters>
  <Application>Microsoft Office Word</Application>
  <DocSecurity>0</DocSecurity>
  <Lines>1149</Lines>
  <Paragraphs>323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161840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AMT2</cp:lastModifiedBy>
  <cp:revision>2</cp:revision>
  <cp:lastPrinted>2025-03-21T00:14:00Z</cp:lastPrinted>
  <dcterms:created xsi:type="dcterms:W3CDTF">2025-08-12T08:15:00Z</dcterms:created>
  <dcterms:modified xsi:type="dcterms:W3CDTF">2025-08-12T08:15:00Z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